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E6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Engagement quality review checklist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Independent review of significant judgements before sign-off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checklist where an engagement quality review is performed, and to evidence the firm's quality management over the engagement.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The reviewer must be someone other than the engagement auditor, with sufficient experience and authority, and appropriate objectivity.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Complete the review before the auditor's report is dated.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Engagement auditor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Quality reviewer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Reviewer eligibility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reviewer is not a member of the engagement team.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reviewer has sufficient and appropriate experience and authority.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reviewer's objectivity is not impaired (for example, did not make key engagement decisions).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</w:pPr>
      <w:r>
        <w:t xml:space="preserve">2. Review of significant matters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engagement team's significant judgements have been reviewed and are appropriate.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independence assessment and conclusion have been reviewed.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Significant risks and the responses to them have been reviewed.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basis for any qualification or modification has been reviewed and supports the opinion.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contravention reporting decisions have been reviewed.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proposed auditor's report is appropriate in the circumstances.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</w:pPr>
      <w:r>
        <w:t xml:space="preserve">3. Firm quality management context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640"/>
        <w:gridCol w:w="640"/>
        <w:gridCol w:w="640"/>
        <w:gridCol w:w="960"/>
      </w:tblGrid>
      <w:tr>
        <w:trPr>
          <w:tblHeader/>
        </w:trP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engagement was performed in accordance with the firm's quality management policies and procedures.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Any matters for the firm's monitoring and remediation process have been noted.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On the basis of the review, nothing has come to my attention that causes me to believe the significant judgements and conclusions are not appropriate. The report may be dated.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Reviewer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review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Quality review checklist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2026-06-29T13:26:11.186Z</dcterms:created>
  <dcterms:modified xsi:type="dcterms:W3CDTF">2026-06-29T13:26:11.186Z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