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E4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Independent auditor's report preparation shell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Preparing and reviewing the approved-form report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This is a preparation shell and note set for completing the regulator's approved independent auditor's report. Always issue the current approved form itself; this shell helps you prepare and review 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report has two parts: Part A the financial audit opinion, and Part B the compliance opinion. Each can be unqualified, qualified, adverse or disclaimed independently.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In the basis of opinion, strike out the financial statement preparation option that does not apply. Do not use a superseded version of the approved form.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Australian Business Number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Trustees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Part A: financial audit opinion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Opinion type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Selected (Y / N)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Basis if modified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Unqualified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Qualified (except for)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Adverse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Disclaimer of opinion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Part B: compliance opinion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Confirm the opinion on the trustees' compliance with each provision listed in the approved form for the period.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Opinion type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Selected (Y / N)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Provisions qualified and basis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Unqualified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Qualified (except for)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Adverse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Disclaimer of opinion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Preparation and review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current approved version of the report form is being used.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fund name, ABN and financial year are correct and consistent with the financial report.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financial statement preparation option in the basis of opinion has been struck out correctly.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Each qualification is supported by a clear basis and by the working papers.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matter qualified in Part A or Part B has been considered for a contravention report.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report is signed, dated and shows the auditor registration number.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report date is not before the date of the trustee representation letter.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Approved SMSF auditor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Auditor registration number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report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/>
          <w:iCs/>
        </w:rPr>
        <w:t xml:space="preserve">Note: the independent auditor's report is a prescribed approved form issued by the regulator. This shell does not reproduce that form and is used only to prepare and review the report before issue.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Auditor's report shell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2026-06-29T13:26:11.040Z</dcterms:created>
  <dcterms:modified xsi:type="dcterms:W3CDTF">2026-06-29T13:26:11.040Z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