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2E75B6"/>
          <w:sz w:val="18"/>
          <w:szCs w:val="18"/>
        </w:rPr>
        <w:t xml:space="preserve">TEMPLATE C8</w:t>
      </w:r>
    </w:p>
    <w:p>
      <w:pPr>
        <w:spacing w:after="40"/>
      </w:pPr>
      <w:r>
        <w:rPr>
          <w:b/>
          <w:bCs/>
          <w:color w:val="1F3A5F"/>
          <w:sz w:val="36"/>
          <w:szCs w:val="36"/>
        </w:rPr>
        <w:t xml:space="preserve">Collectables and personal use assets working paper</w:t>
      </w:r>
    </w:p>
    <w:p>
      <w:pPr>
        <w:spacing w:after="160"/>
      </w:pPr>
      <w:r>
        <w:rPr>
          <w:color w:val="595959"/>
          <w:sz w:val="22"/>
          <w:szCs w:val="22"/>
        </w:rPr>
        <w:t xml:space="preserve">Storage, insurance, use and valuation rules</w:t>
      </w:r>
    </w:p>
    <w:p>
      <w:pPr>
        <w:pBdr>
          <w:bottom w:val="single" w:color="2E75B6" w:sz="6" w:space="1"/>
        </w:pBdr>
        <w:spacing w:after="120" w:before="40"/>
      </w:pPr>
      <w:r>
        <w:t xml:space="preserve"/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4"/>
              <w:left w:val="single" w:color="2E75B6" w:sz="18"/>
              <w:bottom w:val="single" w:color="2E75B6" w:sz="4"/>
              <w:right w:val="single" w:color="2E75B6" w:sz="4"/>
            </w:tcBorders>
            <w:shd w:fill="EAF1F8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How to use this template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Use this working paper for collectables and personal use assets such as artwork, jewellery, vehicles, wine and memorabilia.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These assets carry specific storage, insurance and use rules. A breach is commonly reportable.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Confirm the asset is not used by or leased to a related party and is not stored in a related party's private residence.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Fund name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Financial year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Prepared by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1. Compliance with the specific rules (r13.18AA)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60"/>
        <w:gridCol w:w="640"/>
        <w:gridCol w:w="640"/>
        <w:gridCol w:w="640"/>
        <w:gridCol w:w="2580"/>
      </w:tblGrid>
      <w:tr>
        <w:trPr>
          <w:tblHeader/>
        </w:trP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Procedure or matter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Yes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No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N/A</w:t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Ref / comment</w:t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asset is not leased to, or used by, a related party.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asset is not stored or displayed in the private residence of a related party.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 written record of the storage decision is kept and retained.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asset is insured in the name of the fund within seven days of acquisition.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Where transferred to a related party, the sale was at market value determined by a qualified independent valuer.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pStyle w:val="Heading2"/>
      </w:pPr>
      <w:r>
        <w:t xml:space="preserve">2. Existence and value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60"/>
        <w:gridCol w:w="640"/>
        <w:gridCol w:w="640"/>
        <w:gridCol w:w="640"/>
        <w:gridCol w:w="2580"/>
      </w:tblGrid>
      <w:tr>
        <w:trPr>
          <w:tblHeader/>
        </w:trP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Procedure or matter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Yes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No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N/A</w:t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Ref / comment</w:t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Existence is confirmed by inspection, photographs, or independent confirmation.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Market value at 30 June is supported by appropriate evidence, such as an independent valuation for material items.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3. Asset schedule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200"/>
        <w:gridCol w:w="2360"/>
        <w:gridCol w:w="1800"/>
      </w:tblGrid>
      <w:tr>
        <w:trPr>
          <w:tblHeader/>
        </w:trP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Asset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Insured in fund name (Y / N)</w:t>
            </w:r>
          </w:p>
        </w:tc>
        <w:tc>
          <w:tcPr>
            <w:tcW w:type="dxa" w:w="2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Storage location appropriate (Y / N)</w:t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Value at 30 June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4. Conclusion</w:t>
      </w:r>
    </w:p>
    <w:p>
      <w:pPr>
        <w:spacing w:after="120" w:line="264"/>
      </w:pPr>
      <w:r>
        <w:rPr>
          <w:b w:val="false"/>
          <w:bCs w:val="false"/>
          <w:i w:val="false"/>
          <w:iCs w:val="false"/>
        </w:rPr>
        <w:t xml:space="preserve">Collectables and personal use assets exist, are stated at market value and comply with the specific rules, except as noted.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Matters arising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i w:val="false"/>
                <w:iCs w:val="false"/>
              </w:rPr>
              <w:t xml:space="preserve">Prepared by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Name: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Signature: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Date: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i w:val="false"/>
                <w:iCs w:val="false"/>
              </w:rPr>
              <w:t xml:space="preserve">Reviewed by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Name: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Signature: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Date: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spacing w:after="40" w:before="0"/>
    </w:pPr>
    <w:r>
      <w:t xml:space="preserve"/>
    </w:r>
  </w:p>
  <w:p>
    <w:pPr>
      <w:tabs>
        <w:tab w:val="right" w:pos="9360"/>
      </w:tabs>
    </w:pPr>
    <w:r>
      <w:rPr>
        <w:color w:val="595959"/>
        <w:sz w:val="15"/>
        <w:szCs w:val="15"/>
      </w:rPr>
      <w:t xml:space="preserve">General template for professional use. Not advice on a specific fund.</w:t>
    </w:r>
    <w:r>
      <w:rPr>
        <w:color w:val="595959"/>
        <w:sz w:val="15"/>
        <w:szCs w:val="15"/>
      </w:rPr>
      <w:t xml:space="preserve">	Page </w:t>
    </w:r>
    <w:r>
      <w:rPr>
        <w:color w:val="595959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color w:val="595959"/>
        <w:sz w:val="15"/>
        <w:szCs w:val="15"/>
      </w:rPr>
      <w:t xml:space="preserve"> of </w:t>
    </w:r>
    <w:r>
      <w:rPr>
        <w:color w:val="595959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360"/>
      </w:tabs>
      <w:spacing w:after="40"/>
    </w:pPr>
    <w:r>
      <w:rPr>
        <w:b/>
        <w:bCs/>
        <w:color w:val="1F3A5F"/>
        <w:sz w:val="16"/>
        <w:szCs w:val="16"/>
      </w:rPr>
      <w:t xml:space="preserve">SMSF Audit Resource Library</w:t>
    </w:r>
    <w:r>
      <w:rPr>
        <w:color w:val="595959"/>
        <w:sz w:val="16"/>
        <w:szCs w:val="16"/>
      </w:rPr>
      <w:t xml:space="preserve">	Collectables</w:t>
    </w:r>
  </w:p>
  <w:p>
    <w:pPr>
      <w:pBdr>
        <w:bottom w:val="single" w:color="2E75B6" w:sz="4" w:space="1"/>
      </w:pBdr>
      <w:spacing w:after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  <w:lvl w:ilvl="1" w15:tentative="1">
      <w:start w:val="1"/>
      <w:numFmt w:val="bullet"/>
      <w:lvlText w:val="◦"/>
      <w:lvlJc w:val="left"/>
      <w:pPr>
        <w:ind w:left="108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abstractNum w:abstractNumId="4" w15:restartNumberingAfterBreak="0">
    <w:multiLevelType w:val="hybridMultilevel"/>
    <w:lvl w:ilvl="0" w15:tentative="1">
      <w:start w:val="1"/>
      <w:numFmt w:val="lowerLetter"/>
      <w:lvlText w:val="(%1)"/>
      <w:lvlJc w:val="left"/>
      <w:pPr>
        <w:ind w:left="600" w:hanging="33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3A5F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20"/>
      <w:outlineLvl w:val="1"/>
    </w:pPr>
    <w:rPr>
      <w:rFonts w:ascii="Arial" w:cs="Arial" w:eastAsia="Arial" w:hAnsi="Arial"/>
      <w:b/>
      <w:bCs/>
      <w:color w:val="2E75B6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color w:val="1F3A5F"/>
      <w:sz w:val="21"/>
      <w:szCs w:val="21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2026-06-29T13:21:16.082Z</dcterms:created>
  <dcterms:modified xsi:type="dcterms:W3CDTF">2026-06-29T13:21:16.082Z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