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C6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Limited recourse borrowing arrangement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Structure and safe harbour testing of an LRBA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for a limited recourse borrowing arrangement, including a related party loan.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Confirm the structure is valid: a single acquirable asset held on a holding trust with recourse limited to that asset.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Where the lender is a related party, test the terms against the safe harbour, or confirm the terms are otherwise on an arm's-length basis. Non-arm's-length terms make all income and gains from the asset non-arm's-length income.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Lender (related / unrelated)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Residential property borrowing ban (from 2026)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In June 2026 the government legislated to prohibit SMSFs from entering into a new limited recourse borrowing arrangement to acquire residential property. The measure passed the Senate on 25 June 2026 and is expected to commence 45 days after Royal Assent, around mid-August 2026. Business real property is not affected and can still be acquired under an LRBA. Existing arrangements are grandfathered, including the refinancing of a borrowing entered into before commencement, and an acquisition under a contract entered into before commencement is protected even if settlement occurs later. The safe harbour and arm's-length requirements continue to apply to permitted arrangements. Confirm the commencement date before relying on it, as it depends on the timing of Royal Assent.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640"/>
        <w:gridCol w:w="640"/>
        <w:gridCol w:w="640"/>
        <w:gridCol w:w="960"/>
      </w:tblGrid>
      <w:tr>
        <w:trPr>
          <w:tblHeader/>
        </w:trP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the borrowing relates to residential property, the arrangement, or the contract to acquire the property, was entered into before the commencement of the residential property LRBA ban.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the borrowing was entered into on or after commencement, the property is business real property (the ban does not apply to business real property).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refinancing relates to a borrowing that existed before commencement (grandfathered).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written loan agreement and a holding trust (bare trust) deed are on file.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borrowing relates to a single acquirable asset (or a collection of identical assets with the same market value).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Recourse of the lender is limited to the acquirable asset.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asset is held on trust for the fund and the fund has a beneficial interest.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prohibited charge exists over other fund assets (r13.14).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2. Related party safe harbour terms (PCG 2016/5)</w:t>
      </w:r>
    </w:p>
    <w:p>
      <w:pPr>
        <w:spacing w:after="120" w:line="264"/>
      </w:pPr>
      <w:r>
        <w:rPr>
          <w:b w:val="false"/>
          <w:bCs w:val="false"/>
          <w:i/>
          <w:iCs/>
        </w:rPr>
        <w:t xml:space="preserve">Reference rates for 2025-26: 8.95% for real property and 10.95% for listed shares or units. Confirm all figures against the relevant year before use. Figures shown are current for the 2025-26 year unless stated.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2160"/>
        <w:gridCol w:w="1800"/>
      </w:tblGrid>
      <w:tr>
        <w:trPr>
          <w:tblHeader/>
        </w:trP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Safe harbour term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Required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Per the arrangement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Met? (Y / N)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Interest rate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Published reference rate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Loan term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Real property up to 15 years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Loan to value ratio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Up to 70% property, 50% listed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Security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Registered mortgage or equivalent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Repayments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Principal and interest, monthly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Loan agreement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Written and executed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The borrowing arrangement is validly structured and, where the lender is a related party, is on safe harbour or otherwise arm's-length terms, except as noted. Where terms are not arm's length, the non-arm's-length income consequences have been considered and reported.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LRBA working paper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2026-06-29T14:06:16.667Z</dcterms:created>
  <dcterms:modified xsi:type="dcterms:W3CDTF">2026-06-29T14:06:16.667Z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