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E75B6"/>
          <w:sz w:val="18"/>
          <w:szCs w:val="18"/>
        </w:rPr>
        <w:t xml:space="preserve">TEMPLATE B2</w:t>
      </w:r>
    </w:p>
    <w:p>
      <w:pPr>
        <w:spacing w:after="40"/>
      </w:pPr>
      <w:r>
        <w:rPr>
          <w:b/>
          <w:bCs/>
          <w:color w:val="1F3A5F"/>
          <w:sz w:val="36"/>
          <w:szCs w:val="36"/>
        </w:rPr>
        <w:t xml:space="preserve">Materiality assessment worksheet</w:t>
      </w:r>
    </w:p>
    <w:p>
      <w:pPr>
        <w:spacing w:after="160"/>
      </w:pPr>
      <w:r>
        <w:rPr>
          <w:color w:val="595959"/>
          <w:sz w:val="22"/>
          <w:szCs w:val="22"/>
        </w:rPr>
        <w:t xml:space="preserve">Setting materiality for the financial audit</w:t>
      </w:r>
    </w:p>
    <w:p>
      <w:pPr>
        <w:pBdr>
          <w:bottom w:val="single" w:color="2E75B6" w:sz="6" w:space="1"/>
        </w:pBdr>
        <w:spacing w:after="120" w:before="40"/>
      </w:pPr>
      <w:r>
        <w:t xml:space="preserve"/>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4"/>
              <w:left w:val="single" w:color="2E75B6" w:sz="18"/>
              <w:bottom w:val="single" w:color="2E75B6" w:sz="4"/>
              <w:right w:val="single" w:color="2E75B6" w:sz="4"/>
            </w:tcBorders>
            <w:shd w:fill="EAF1F8" w:val="clear"/>
            <w:tcMar>
              <w:top w:type="dxa" w:w="120"/>
              <w:left w:type="dxa" w:w="180"/>
              <w:bottom w:type="dxa" w:w="120"/>
              <w:right w:type="dxa" w:w="160"/>
            </w:tcMar>
          </w:tcPr>
          <w:p>
            <w:pPr>
              <w:spacing w:after="60"/>
            </w:pPr>
            <w:r>
              <w:rPr>
                <w:b/>
                <w:bCs/>
                <w:color w:val="1F3A5F"/>
                <w:sz w:val="20"/>
                <w:szCs w:val="20"/>
              </w:rPr>
              <w:t xml:space="preserve">How to use this template</w:t>
            </w:r>
          </w:p>
          <w:p>
            <w:pPr>
              <w:pStyle w:val="ListParagraph"/>
              <w:numPr>
                <w:ilvl w:val="0"/>
                <w:numId w:val="2"/>
              </w:numPr>
              <w:spacing w:after="40" w:line="252"/>
            </w:pPr>
            <w:r>
              <w:rPr>
                <w:sz w:val="19"/>
                <w:szCs w:val="19"/>
              </w:rPr>
              <w:t xml:space="preserve">Set materiality at the planning stage and revise it if you become aware of information that would have caused you to set it differently.</w:t>
            </w:r>
          </w:p>
          <w:p>
            <w:pPr>
              <w:pStyle w:val="ListParagraph"/>
              <w:numPr>
                <w:ilvl w:val="0"/>
                <w:numId w:val="2"/>
              </w:numPr>
              <w:spacing w:after="40" w:line="252"/>
            </w:pPr>
            <w:r>
              <w:rPr>
                <w:sz w:val="19"/>
                <w:szCs w:val="19"/>
              </w:rPr>
              <w:t xml:space="preserve">Materiality applies to the financial audit (Part A). It does not apply to the compliance reporting tests, where a contravention is reportable on its own terms regardless of dollar value.</w:t>
            </w:r>
          </w:p>
          <w:p>
            <w:pPr>
              <w:pStyle w:val="ListParagraph"/>
              <w:numPr>
                <w:ilvl w:val="0"/>
                <w:numId w:val="2"/>
              </w:numPr>
              <w:spacing w:after="40" w:line="252"/>
            </w:pPr>
            <w:r>
              <w:rPr>
                <w:sz w:val="19"/>
                <w:szCs w:val="19"/>
              </w:rPr>
              <w:t xml:space="preserve">Document the benchmark, the percentage and the reason for the judgement so the basis is clear to a later reviewer.</w:t>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Fund name</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Financial year</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Prepared by</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Date</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p>
      <w:pPr>
        <w:pStyle w:val="Heading2"/>
      </w:pPr>
      <w:r>
        <w:t xml:space="preserve">1. Benchmark selection</w:t>
      </w:r>
    </w:p>
    <w:p>
      <w:pPr>
        <w:spacing w:after="120" w:line="264"/>
      </w:pPr>
      <w:r>
        <w:rPr>
          <w:b w:val="false"/>
          <w:bCs w:val="false"/>
          <w:i w:val="false"/>
          <w:iCs w:val="false"/>
        </w:rPr>
        <w:t xml:space="preserve">Select the benchmark most relevant to the users of the financial report. For most funds net assets available to pay benefits is the primary benchmark, because members are most concerned with the value of their entitlements.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2000"/>
        <w:gridCol w:w="1560"/>
        <w:gridCol w:w="2600"/>
      </w:tblGrid>
      <w:tr>
        <w:trPr>
          <w:tblHeader/>
        </w:trPr>
        <w:tc>
          <w:tcPr>
            <w:tcW w:type="dxa" w:w="32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Benchmark</w:t>
            </w:r>
          </w:p>
        </w:tc>
        <w:tc>
          <w:tcPr>
            <w:tcW w:type="dxa" w:w="20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Amount</w:t>
            </w:r>
          </w:p>
        </w:tc>
        <w:tc>
          <w:tcPr>
            <w:tcW w:type="dxa" w:w="15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Selected? (Y / N)</w:t>
            </w:r>
          </w:p>
        </w:tc>
        <w:tc>
          <w:tcPr>
            <w:tcW w:type="dxa" w:w="26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Reason</w:t>
            </w:r>
          </w:p>
        </w:tc>
      </w:tr>
      <w:tr>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Net assets available to pay benefits</w:t>
            </w:r>
          </w:p>
        </w:tc>
        <w:tc>
          <w:tcPr>
            <w:tcW w:type="dxa" w:w="2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26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Total assets</w:t>
            </w:r>
          </w:p>
        </w:tc>
        <w:tc>
          <w:tcPr>
            <w:tcW w:type="dxa" w:w="2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26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Total member benefits</w:t>
            </w:r>
          </w:p>
        </w:tc>
        <w:tc>
          <w:tcPr>
            <w:tcW w:type="dxa" w:w="2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26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32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Total income</w:t>
            </w:r>
          </w:p>
        </w:tc>
        <w:tc>
          <w:tcPr>
            <w:tcW w:type="dxa" w:w="20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15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c>
          <w:tcPr>
            <w:tcW w:type="dxa" w:w="26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bl>
    <w:p>
      <w:pPr>
        <w:spacing w:after="80"/>
      </w:pPr>
      <w:r>
        <w:t xml:space="preserve"/>
      </w:r>
    </w:p>
    <w:p>
      <w:pPr>
        <w:pStyle w:val="Heading2"/>
      </w:pPr>
      <w:r>
        <w:t xml:space="preserve">2. Materiality calculation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700"/>
        <w:gridCol w:w="2700"/>
        <w:gridCol w:w="2160"/>
        <w:gridCol w:w="1800"/>
      </w:tblGrid>
      <w:tr>
        <w:trPr>
          <w:tblHeader/>
        </w:trPr>
        <w:tc>
          <w:tcPr>
            <w:tcW w:type="dxa" w:w="27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Measure</w:t>
            </w:r>
          </w:p>
        </w:tc>
        <w:tc>
          <w:tcPr>
            <w:tcW w:type="dxa" w:w="27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Basis</w:t>
            </w:r>
          </w:p>
        </w:tc>
        <w:tc>
          <w:tcPr>
            <w:tcW w:type="dxa" w:w="216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Percentage</w:t>
            </w:r>
          </w:p>
        </w:tc>
        <w:tc>
          <w:tcPr>
            <w:tcW w:type="dxa" w:w="1800"/>
            <w:tcBorders>
              <w:top w:val="single" w:color="CCCCCC" w:sz="4"/>
              <w:left w:val="single" w:color="CCCCCC" w:sz="4"/>
              <w:bottom w:val="single" w:color="CCCCCC" w:sz="4"/>
              <w:right w:val="single" w:color="CCCCCC" w:sz="4"/>
            </w:tcBorders>
            <w:shd w:fill="1F3A5F" w:val="clear"/>
            <w:tcMar>
              <w:top w:type="dxa" w:w="70"/>
              <w:left w:type="dxa" w:w="120"/>
              <w:bottom w:type="dxa" w:w="70"/>
              <w:right w:type="dxa" w:w="120"/>
            </w:tcMar>
            <w:vAlign w:val="center"/>
          </w:tcPr>
          <w:p>
            <w:r>
              <w:rPr>
                <w:b/>
                <w:bCs/>
                <w:color w:val="FFFFFF"/>
                <w:sz w:val="19"/>
                <w:szCs w:val="19"/>
              </w:rPr>
              <w:t xml:space="preserve">Amount</w:t>
            </w:r>
          </w:p>
        </w:tc>
      </w:tr>
      <w:tr>
        <w:tc>
          <w:tcPr>
            <w:tcW w:type="dxa" w:w="27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Overall materiality</w:t>
            </w:r>
          </w:p>
        </w:tc>
        <w:tc>
          <w:tcPr>
            <w:tcW w:type="dxa" w:w="27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Benchmark above</w:t>
            </w:r>
          </w:p>
        </w:tc>
        <w:tc>
          <w:tcPr>
            <w:tcW w:type="dxa" w:w="2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Typically 5% to 10%</w:t>
            </w:r>
          </w:p>
        </w:tc>
        <w:tc>
          <w:tcPr>
            <w:tcW w:type="dxa" w:w="18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27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Performance materiality</w:t>
            </w:r>
          </w:p>
        </w:tc>
        <w:tc>
          <w:tcPr>
            <w:tcW w:type="dxa" w:w="27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Percentage of overall</w:t>
            </w:r>
          </w:p>
        </w:tc>
        <w:tc>
          <w:tcPr>
            <w:tcW w:type="dxa" w:w="2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Typically 50% to 75%</w:t>
            </w:r>
          </w:p>
        </w:tc>
        <w:tc>
          <w:tcPr>
            <w:tcW w:type="dxa" w:w="18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r>
        <w:tc>
          <w:tcPr>
            <w:tcW w:type="dxa" w:w="27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Clearly trivial threshold</w:t>
            </w:r>
          </w:p>
        </w:tc>
        <w:tc>
          <w:tcPr>
            <w:tcW w:type="dxa" w:w="27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Percentage of overall</w:t>
            </w:r>
          </w:p>
        </w:tc>
        <w:tc>
          <w:tcPr>
            <w:tcW w:type="dxa" w:w="21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Typically up to 5%</w:t>
            </w:r>
          </w:p>
        </w:tc>
        <w:tc>
          <w:tcPr>
            <w:tcW w:type="dxa" w:w="180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b w:val="false"/>
                <w:bCs w:val="false"/>
                <w:sz w:val="19"/>
                <w:szCs w:val="19"/>
              </w:rPr>
              <w:t xml:space="preserve"/>
            </w:r>
          </w:p>
        </w:tc>
      </w:tr>
    </w:tbl>
    <w:p>
      <w:pPr>
        <w:spacing w:after="80"/>
      </w:pPr>
      <w:r>
        <w:t xml:space="preserve"/>
      </w:r>
    </w:p>
    <w:p>
      <w:pPr>
        <w:pStyle w:val="Heading2"/>
      </w:pPr>
      <w:r>
        <w:t xml:space="preserve">3. Qualitative factors</w:t>
      </w:r>
    </w:p>
    <w:p>
      <w:pPr>
        <w:spacing w:after="120" w:line="264"/>
      </w:pPr>
      <w:r>
        <w:rPr>
          <w:b w:val="false"/>
          <w:bCs w:val="false"/>
          <w:i w:val="false"/>
          <w:iCs w:val="false"/>
        </w:rPr>
        <w:t xml:space="preserve">Consider whether any matters require a lower materiality than the calculation suggests, for example related party dealings, pension compliance, regulatory sensitivity or a history of contraventions.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Qualitative factors considered</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Adjustment made</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Yes / No, detail</w:t>
            </w:r>
          </w:p>
        </w:tc>
      </w:tr>
    </w:tbl>
    <w:p>
      <w:pPr>
        <w:spacing w:after="80"/>
      </w:pPr>
      <w:r>
        <w:t xml:space="preserve"/>
      </w:r>
    </w:p>
    <w:p>
      <w:pPr>
        <w:pStyle w:val="Heading2"/>
      </w:pPr>
      <w:r>
        <w:t xml:space="preserve">4. Conclusion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Overall materiality applied</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Performance materiality applied</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r>
        <w:tc>
          <w:tcPr>
            <w:tcW w:type="dxa" w:w="3000"/>
            <w:tcBorders>
              <w:top w:val="single" w:color="CCCCCC" w:sz="4"/>
              <w:left w:val="single" w:color="CCCCCC" w:sz="4"/>
              <w:bottom w:val="single" w:color="CCCCCC" w:sz="4"/>
              <w:right w:val="single" w:color="CCCCCC" w:sz="4"/>
            </w:tcBorders>
            <w:shd w:fill="EAF1F8" w:val="clear"/>
            <w:tcMar>
              <w:top w:type="dxa" w:w="70"/>
              <w:left w:type="dxa" w:w="120"/>
              <w:bottom w:type="dxa" w:w="70"/>
              <w:right w:type="dxa" w:w="120"/>
            </w:tcMar>
            <w:vAlign w:val="center"/>
          </w:tcPr>
          <w:p>
            <w:r>
              <w:rPr>
                <w:b/>
                <w:bCs/>
                <w:sz w:val="20"/>
                <w:szCs w:val="20"/>
              </w:rPr>
              <w:t xml:space="preserve">Basis for the final judgement</w:t>
            </w:r>
          </w:p>
        </w:tc>
        <w:tc>
          <w:tcPr>
            <w:tcW w:type="dxa" w:w="636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r>
              <w:rPr>
                <w:sz w:val="20"/>
                <w:szCs w:val="20"/>
              </w:rPr>
              <w:t xml:space="preserve"/>
            </w:r>
          </w:p>
        </w:tc>
      </w:tr>
    </w:tbl>
    <w:p>
      <w:pPr>
        <w:spacing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pPr>
              <w:spacing w:after="0" w:line="264"/>
            </w:pPr>
            <w:r>
              <w:rPr>
                <w:b/>
                <w:bCs/>
                <w:i w:val="false"/>
                <w:iCs w:val="false"/>
              </w:rPr>
              <w:t xml:space="preserve">Prepared by</w:t>
            </w:r>
          </w:p>
          <w:p>
            <w:pPr>
              <w:spacing w:after="0" w:line="264"/>
            </w:pPr>
            <w:r>
              <w:rPr>
                <w:b w:val="false"/>
                <w:bCs w:val="false"/>
                <w:i w:val="false"/>
                <w:iCs w:val="false"/>
              </w:rPr>
              <w:t xml:space="preserve">Name:</w:t>
            </w:r>
          </w:p>
          <w:p>
            <w:pPr>
              <w:spacing w:after="0" w:line="264"/>
            </w:pPr>
            <w:r>
              <w:rPr>
                <w:b w:val="false"/>
                <w:bCs w:val="false"/>
                <w:i w:val="false"/>
                <w:iCs w:val="false"/>
              </w:rPr>
              <w:t xml:space="preserve">Signature:</w:t>
            </w:r>
          </w:p>
          <w:p>
            <w:pPr>
              <w:spacing w:after="0" w:line="264"/>
            </w:pPr>
            <w:r>
              <w:rPr>
                <w:b w:val="false"/>
                <w:bCs w:val="false"/>
                <w:i w:val="false"/>
                <w:iCs w:val="false"/>
              </w:rPr>
              <w:t xml:space="preserve">Date:</w:t>
            </w:r>
          </w:p>
        </w:tc>
        <w:tc>
          <w:tcPr>
            <w:tcW w:type="dxa" w:w="4680"/>
            <w:tcBorders>
              <w:top w:val="single" w:color="CCCCCC" w:sz="4"/>
              <w:left w:val="single" w:color="CCCCCC" w:sz="4"/>
              <w:bottom w:val="single" w:color="CCCCCC" w:sz="4"/>
              <w:right w:val="single" w:color="CCCCCC" w:sz="4"/>
            </w:tcBorders>
            <w:tcMar>
              <w:top w:type="dxa" w:w="70"/>
              <w:left w:type="dxa" w:w="120"/>
              <w:bottom w:type="dxa" w:w="70"/>
              <w:right w:type="dxa" w:w="120"/>
            </w:tcMar>
            <w:vAlign w:val="center"/>
          </w:tcPr>
          <w:p>
            <w:pPr>
              <w:spacing w:after="0" w:line="264"/>
            </w:pPr>
            <w:r>
              <w:rPr>
                <w:b/>
                <w:bCs/>
                <w:i w:val="false"/>
                <w:iCs w:val="false"/>
              </w:rPr>
              <w:t xml:space="preserve">Reviewed by</w:t>
            </w:r>
          </w:p>
          <w:p>
            <w:pPr>
              <w:spacing w:after="0" w:line="264"/>
            </w:pPr>
            <w:r>
              <w:rPr>
                <w:b w:val="false"/>
                <w:bCs w:val="false"/>
                <w:i w:val="false"/>
                <w:iCs w:val="false"/>
              </w:rPr>
              <w:t xml:space="preserve">Name:</w:t>
            </w:r>
          </w:p>
          <w:p>
            <w:pPr>
              <w:spacing w:after="0" w:line="264"/>
            </w:pPr>
            <w:r>
              <w:rPr>
                <w:b w:val="false"/>
                <w:bCs w:val="false"/>
                <w:i w:val="false"/>
                <w:iCs w:val="false"/>
              </w:rPr>
              <w:t xml:space="preserve">Signature:</w:t>
            </w:r>
          </w:p>
          <w:p>
            <w:pPr>
              <w:spacing w:after="0" w:line="264"/>
            </w:pPr>
            <w:r>
              <w:rPr>
                <w:b w:val="false"/>
                <w:bCs w:val="false"/>
                <w:i w:val="false"/>
                <w:iCs w:val="false"/>
              </w:rPr>
              <w:t xml:space="preserve">Date:</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after="40" w:before="0"/>
    </w:pPr>
    <w:r>
      <w:t xml:space="preserve"/>
    </w:r>
  </w:p>
  <w:p>
    <w:pPr>
      <w:tabs>
        <w:tab w:val="right" w:pos="9360"/>
      </w:tabs>
    </w:pPr>
    <w:r>
      <w:rPr>
        <w:color w:val="595959"/>
        <w:sz w:val="15"/>
        <w:szCs w:val="15"/>
      </w:rPr>
      <w:t xml:space="preserve">General template for professional use. Not advice on a specific fund.</w:t>
    </w:r>
    <w:r>
      <w:rPr>
        <w:color w:val="595959"/>
        <w:sz w:val="15"/>
        <w:szCs w:val="15"/>
      </w:rPr>
      <w:t xml:space="preserve">	Page </w:t>
    </w:r>
    <w:r>
      <w:rPr>
        <w:color w:val="595959"/>
        <w:sz w:val="15"/>
        <w:szCs w:val="15"/>
      </w:rPr>
      <w:fldChar w:fldCharType="begin"/>
      <w:instrText xml:space="preserve">PAGE</w:instrText>
      <w:fldChar w:fldCharType="separate"/>
      <w:fldChar w:fldCharType="end"/>
    </w:r>
    <w:r>
      <w:rPr>
        <w:color w:val="595959"/>
        <w:sz w:val="15"/>
        <w:szCs w:val="15"/>
      </w:rPr>
      <w:t xml:space="preserve"> of </w:t>
    </w:r>
    <w:r>
      <w:rPr>
        <w:color w:val="595959"/>
        <w:sz w:val="15"/>
        <w:szCs w:val="15"/>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360"/>
      </w:tabs>
      <w:spacing w:after="40"/>
    </w:pPr>
    <w:r>
      <w:rPr>
        <w:b/>
        <w:bCs/>
        <w:color w:val="1F3A5F"/>
        <w:sz w:val="16"/>
        <w:szCs w:val="16"/>
      </w:rPr>
      <w:t xml:space="preserve">SMSF Audit Resource Library</w:t>
    </w:r>
    <w:r>
      <w:rPr>
        <w:color w:val="595959"/>
        <w:sz w:val="16"/>
        <w:szCs w:val="16"/>
      </w:rPr>
      <w:t xml:space="preserve">	Materiality worksheet</w:t>
    </w:r>
  </w:p>
  <w:p>
    <w:pPr>
      <w:pBdr>
        <w:bottom w:val="single" w:color="2E75B6" w:sz="4" w:space="1"/>
      </w:pBdr>
      <w:spacing w:after="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lvl w:ilvl="1" w15:tentative="1">
      <w:start w:val="1"/>
      <w:numFmt w:val="bullet"/>
      <w:lvlText w:val="◦"/>
      <w:lvlJc w:val="left"/>
      <w:pPr>
        <w:ind w:left="1080" w:hanging="270"/>
      </w:pPr>
    </w:lvl>
  </w:abstractNum>
  <w:abstractNum w:abstractNumId="3" w15:restartNumberingAfterBreak="0">
    <w:multiLevelType w:val="hybridMultilevel"/>
    <w:lvl w:ilvl="0" w15:tentative="1">
      <w:start w:val="1"/>
      <w:numFmt w:val="decimal"/>
      <w:lvlText w:val="%1."/>
      <w:lvlJc w:val="left"/>
      <w:pPr>
        <w:ind w:left="540" w:hanging="270"/>
      </w:pPr>
    </w:lvl>
  </w:abstractNum>
  <w:abstractNum w:abstractNumId="4" w15:restartNumberingAfterBreak="0">
    <w:multiLevelType w:val="hybridMultilevel"/>
    <w:lvl w:ilvl="0" w15:tentative="1">
      <w:start w:val="1"/>
      <w:numFmt w:val="lowerLetter"/>
      <w:lvlText w:val="(%1)"/>
      <w:lvlJc w:val="left"/>
      <w:pPr>
        <w:ind w:left="600" w:hanging="33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3A5F"/>
      <w:sz w:val="30"/>
      <w:szCs w:val="30"/>
    </w:rPr>
  </w:style>
  <w:style w:type="paragraph" w:styleId="Heading2">
    <w:name w:val="Heading 2"/>
    <w:basedOn w:val="Normal"/>
    <w:next w:val="Normal"/>
    <w:qFormat/>
    <w:pPr>
      <w:spacing w:after="100" w:before="220"/>
      <w:outlineLvl w:val="1"/>
    </w:pPr>
    <w:rPr>
      <w:rFonts w:ascii="Arial" w:cs="Arial" w:eastAsia="Arial" w:hAnsi="Arial"/>
      <w:b/>
      <w:bCs/>
      <w:color w:val="2E75B6"/>
      <w:sz w:val="24"/>
      <w:szCs w:val="24"/>
    </w:rPr>
  </w:style>
  <w:style w:type="paragraph" w:styleId="Heading3">
    <w:name w:val="Heading 3"/>
    <w:basedOn w:val="Normal"/>
    <w:next w:val="Normal"/>
    <w:qFormat/>
    <w:pPr>
      <w:spacing w:after="80" w:before="160"/>
      <w:outlineLvl w:val="2"/>
    </w:pPr>
    <w:rPr>
      <w:rFonts w:ascii="Arial" w:cs="Arial" w:eastAsia="Arial" w:hAnsi="Arial"/>
      <w:b/>
      <w:bCs/>
      <w:color w:val="1F3A5F"/>
      <w:sz w:val="21"/>
      <w:szCs w:val="21"/>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2026-06-29T13:18:12.056Z</dcterms:created>
  <dcterms:modified xsi:type="dcterms:W3CDTF">2026-06-29T13:18:12.057Z</dcterms:modified>
</cp:coreProperties>
</file>

<file path=docProps/custom.xml><?xml version="1.0" encoding="utf-8"?>
<Properties xmlns="http://schemas.openxmlformats.org/officeDocument/2006/custom-properties" xmlns:vt="http://schemas.openxmlformats.org/officeDocument/2006/docPropsVTypes"/>
</file>