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TEMPLATE A2</w:t>
      </w:r>
    </w:p>
    <w:p>
      <w:pPr>
        <w:spacing w:after="40"/>
      </w:pPr>
      <w:r>
        <w:rPr>
          <w:b/>
          <w:bCs/>
          <w:color w:val="1F3A5F"/>
          <w:sz w:val="36"/>
          <w:szCs w:val="36"/>
        </w:rPr>
        <w:t xml:space="preserve">SMSF audit engagement letter</w:t>
      </w:r>
    </w:p>
    <w:p>
      <w:pPr>
        <w:spacing w:after="160"/>
      </w:pPr>
      <w:r>
        <w:rPr>
          <w:color w:val="595959"/>
          <w:sz w:val="22"/>
          <w:szCs w:val="22"/>
        </w:rPr>
        <w:t xml:space="preserve">Terms of engagement addressed to the trustees of the fund</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60"/>
            </w:pPr>
            <w:r>
              <w:rPr>
                <w:b/>
                <w:bCs/>
                <w:color w:val="1F3A5F"/>
                <w:sz w:val="20"/>
                <w:szCs w:val="20"/>
              </w:rPr>
              <w:t xml:space="preserve">How to use this template</w:t>
            </w:r>
          </w:p>
          <w:p>
            <w:pPr>
              <w:pStyle w:val="ListParagraph"/>
              <w:numPr>
                <w:ilvl w:val="0"/>
                <w:numId w:val="2"/>
              </w:numPr>
              <w:spacing w:after="40" w:line="252"/>
            </w:pPr>
            <w:r>
              <w:rPr>
                <w:sz w:val="19"/>
                <w:szCs w:val="19"/>
              </w:rPr>
              <w:t xml:space="preserve">Address this letter to the trustees of the fund, not to the accountant or administrator. The trustees are the audit client.</w:t>
            </w:r>
          </w:p>
          <w:p>
            <w:pPr>
              <w:pStyle w:val="ListParagraph"/>
              <w:numPr>
                <w:ilvl w:val="0"/>
                <w:numId w:val="2"/>
              </w:numPr>
              <w:spacing w:after="40" w:line="252"/>
            </w:pPr>
            <w:r>
              <w:rPr>
                <w:sz w:val="19"/>
                <w:szCs w:val="19"/>
              </w:rPr>
              <w:t xml:space="preserve">On a recurring engagement the letter need not be reissued every year, but it should be confirmed and reissued when the terms, the trustees or the circumstances change.</w:t>
            </w:r>
          </w:p>
          <w:p>
            <w:pPr>
              <w:pStyle w:val="ListParagraph"/>
              <w:numPr>
                <w:ilvl w:val="0"/>
                <w:numId w:val="2"/>
              </w:numPr>
              <w:spacing w:after="40" w:line="252"/>
            </w:pPr>
            <w:r>
              <w:rPr>
                <w:sz w:val="19"/>
                <w:szCs w:val="19"/>
              </w:rPr>
              <w:t xml:space="preserve">Replace each bracketed field with the relevant detail and obtain the trustees' signed acceptance before commencing the audit.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Date</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The trustees of</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[Fund name]</w:t>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Address</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bl>
    <w:p>
      <w:pPr>
        <w:spacing w:after="80"/>
      </w:pPr>
      <w:r>
        <w:t xml:space="preserve"/>
      </w:r>
    </w:p>
    <w:p>
      <w:pPr>
        <w:spacing w:after="120" w:line="264"/>
      </w:pPr>
      <w:r>
        <w:rPr>
          <w:b w:val="false"/>
          <w:bCs w:val="false"/>
          <w:i w:val="false"/>
          <w:iCs w:val="false"/>
        </w:rPr>
        <w:t xml:space="preserve">Dear Trustees</w:t>
      </w:r>
    </w:p>
    <w:p>
      <w:pPr>
        <w:pStyle w:val="Heading3"/>
      </w:pPr>
      <w:r>
        <w:t xml:space="preserve">Engagement to audit the self-managed superannuation fund</w:t>
      </w:r>
    </w:p>
    <w:p>
      <w:pPr>
        <w:spacing w:after="120" w:line="264"/>
      </w:pPr>
      <w:r>
        <w:rPr>
          <w:b w:val="false"/>
          <w:bCs w:val="false"/>
          <w:i w:val="false"/>
          <w:iCs w:val="false"/>
        </w:rPr>
        <w:t xml:space="preserve">This letter sets out the terms of our engagement to audit [Fund name] (the fund) for the year ending [30 June 20XX] and, unless varied in writing, for subsequent years. Please read it carefully and confirm your agreement by signing and returning the acceptance below.</w:t>
      </w:r>
    </w:p>
    <w:p>
      <w:pPr>
        <w:pStyle w:val="Heading2"/>
      </w:pPr>
      <w:r>
        <w:t xml:space="preserve">Scope of the engagement</w:t>
      </w:r>
    </w:p>
    <w:p>
      <w:pPr>
        <w:spacing w:after="120" w:line="264"/>
      </w:pPr>
      <w:r>
        <w:rPr>
          <w:b w:val="false"/>
          <w:bCs w:val="false"/>
          <w:i w:val="false"/>
          <w:iCs w:val="false"/>
        </w:rPr>
        <w:t xml:space="preserve">We will conduct a financial audit and a compliance audit of the fund as required by the Superannuation Industry (Supervision) Act 1993 (the SIS Act) and the Superannuation Industry (Supervision) Regulations 1994 (the SIS Regulations).</w:t>
      </w:r>
    </w:p>
    <w:p>
      <w:pPr>
        <w:pStyle w:val="ListParagraph"/>
        <w:numPr>
          <w:ilvl w:val="0"/>
          <w:numId w:val="2"/>
        </w:numPr>
        <w:spacing w:after="60" w:line="264"/>
      </w:pPr>
      <w:r>
        <w:t xml:space="preserve">The financial audit (Part A) is an audit of the fund's financial report, conducted in accordance with the Australian Auditing Standards, to express an opinion on whether the financial report is fairly presented in all material respects.</w:t>
      </w:r>
    </w:p>
    <w:p>
      <w:pPr>
        <w:pStyle w:val="ListParagraph"/>
        <w:numPr>
          <w:ilvl w:val="0"/>
          <w:numId w:val="2"/>
        </w:numPr>
        <w:spacing w:after="60" w:line="264"/>
      </w:pPr>
      <w:r>
        <w:t xml:space="preserve">The compliance audit (Part B) is a reasonable assurance engagement, conducted in accordance with the applicable standards on assurance engagements, to express an opinion on the trustees' compliance with the specified provisions of the SIS Act and the SIS Regulations.</w:t>
      </w:r>
    </w:p>
    <w:p>
      <w:pPr>
        <w:spacing w:after="120" w:line="264"/>
      </w:pPr>
      <w:r>
        <w:rPr>
          <w:b w:val="false"/>
          <w:bCs w:val="false"/>
          <w:i w:val="false"/>
          <w:iCs w:val="false"/>
        </w:rPr>
        <w:t xml:space="preserve">We will report our opinion in the approved form of the independent auditor's report prescribed by the regulator.</w:t>
      </w:r>
    </w:p>
    <w:p>
      <w:pPr>
        <w:pStyle w:val="Heading2"/>
      </w:pPr>
      <w:r>
        <w:t xml:space="preserve">Responsibilities of the trustees</w:t>
      </w:r>
    </w:p>
    <w:p>
      <w:pPr>
        <w:spacing w:after="120" w:line="264"/>
      </w:pPr>
      <w:r>
        <w:rPr>
          <w:b w:val="false"/>
          <w:bCs w:val="false"/>
          <w:i w:val="false"/>
          <w:iCs w:val="false"/>
        </w:rPr>
        <w:t xml:space="preserve">As trustees you are responsible for:</w:t>
      </w:r>
    </w:p>
    <w:p>
      <w:pPr>
        <w:pStyle w:val="ListParagraph"/>
        <w:numPr>
          <w:ilvl w:val="0"/>
          <w:numId w:val="2"/>
        </w:numPr>
        <w:spacing w:after="60" w:line="264"/>
      </w:pPr>
      <w:r>
        <w:t xml:space="preserve">keeping proper accounting records and preparing a financial report that presents fairly the financial position and operation of the fund;</w:t>
      </w:r>
    </w:p>
    <w:p>
      <w:pPr>
        <w:pStyle w:val="ListParagraph"/>
        <w:numPr>
          <w:ilvl w:val="0"/>
          <w:numId w:val="2"/>
        </w:numPr>
        <w:spacing w:after="60" w:line="264"/>
      </w:pPr>
      <w:r>
        <w:t xml:space="preserve">maintaining the fund in accordance with the SIS Act, the SIS Regulations and the governing rules of the fund;</w:t>
      </w:r>
    </w:p>
    <w:p>
      <w:pPr>
        <w:pStyle w:val="ListParagraph"/>
        <w:numPr>
          <w:ilvl w:val="0"/>
          <w:numId w:val="2"/>
        </w:numPr>
        <w:spacing w:after="60" w:line="264"/>
      </w:pPr>
      <w:r>
        <w:t xml:space="preserve">valuing the fund's assets at market value at each reporting date on the basis of objective and supportable evidence;</w:t>
      </w:r>
    </w:p>
    <w:p>
      <w:pPr>
        <w:pStyle w:val="ListParagraph"/>
        <w:numPr>
          <w:ilvl w:val="0"/>
          <w:numId w:val="2"/>
        </w:numPr>
        <w:spacing w:after="60" w:line="264"/>
      </w:pPr>
      <w:r>
        <w:t xml:space="preserve">providing us, within 14 days of any written request, with all documents, records, explanations and other information we require to conduct the audit; and</w:t>
      </w:r>
    </w:p>
    <w:p>
      <w:pPr>
        <w:pStyle w:val="ListParagraph"/>
        <w:numPr>
          <w:ilvl w:val="0"/>
          <w:numId w:val="2"/>
        </w:numPr>
        <w:spacing w:after="60" w:line="264"/>
      </w:pPr>
      <w:r>
        <w:t xml:space="preserve">providing a signed representation letter at the conclusion of the audit.</w:t>
      </w:r>
    </w:p>
    <w:p>
      <w:pPr>
        <w:pStyle w:val="Heading2"/>
      </w:pPr>
      <w:r>
        <w:t xml:space="preserve">Our responsibilities</w:t>
      </w:r>
    </w:p>
    <w:p>
      <w:pPr>
        <w:spacing w:after="120" w:line="264"/>
      </w:pPr>
      <w:r>
        <w:rPr>
          <w:b w:val="false"/>
          <w:bCs w:val="false"/>
          <w:i w:val="false"/>
          <w:iCs w:val="false"/>
        </w:rPr>
        <w:t xml:space="preserve">We will conduct the audit so as to express an opinion on the financial report and on compliance. An audit involves performing procedures to obtain audit evidence about the amounts and disclosures in the financial report and about compliance with the specified provisions. The procedures selected depend on our judgement, including the assessment of the risks of material misstatement and material non-compliance.</w:t>
      </w:r>
    </w:p>
    <w:p>
      <w:pPr>
        <w:spacing w:after="120" w:line="264"/>
      </w:pPr>
      <w:r>
        <w:rPr>
          <w:b w:val="false"/>
          <w:bCs w:val="false"/>
          <w:i w:val="false"/>
          <w:iCs w:val="false"/>
        </w:rPr>
        <w:t xml:space="preserve">Because of the inherent limitations of an audit, together with the inherent limitations of internal control, there is an unavoidable risk that some material misstatements or instances of non-compliance may not be detected, even though the audit is properly planned and performed.</w:t>
      </w:r>
    </w:p>
    <w:p>
      <w:pPr>
        <w:spacing w:after="120" w:line="264"/>
      </w:pPr>
      <w:r>
        <w:rPr>
          <w:b w:val="false"/>
          <w:bCs w:val="false"/>
          <w:i w:val="false"/>
          <w:iCs w:val="false"/>
        </w:rPr>
        <w:t xml:space="preserve">Where we identify a contravention that meets the reporting criteria, we are required to report it to the regulator in the approved form, in addition to reporting it to you. We may be required to report a contravention even where it has been rectified.</w:t>
      </w:r>
    </w:p>
    <w:p>
      <w:pPr>
        <w:pStyle w:val="Heading2"/>
      </w:pPr>
      <w:r>
        <w:t xml:space="preserve">Independence</w:t>
      </w:r>
    </w:p>
    <w:p>
      <w:pPr>
        <w:spacing w:after="120" w:line="264"/>
      </w:pPr>
      <w:r>
        <w:rPr>
          <w:b w:val="false"/>
          <w:bCs w:val="false"/>
          <w:i w:val="false"/>
          <w:iCs w:val="false"/>
        </w:rPr>
        <w:t xml:space="preserve">We confirm that we are independent of the fund and will comply with the independence requirements of the applicable code of ethics. We will not audit a financial report that our firm has prepared, other than to the extent permitted for routine or mechanical services with appropriate safeguards in place.</w:t>
      </w:r>
    </w:p>
    <w:p>
      <w:pPr>
        <w:pStyle w:val="Heading2"/>
      </w:pPr>
      <w:r>
        <w:t xml:space="preserve">Fees</w:t>
      </w:r>
    </w:p>
    <w:p>
      <w:pPr>
        <w:spacing w:after="120" w:line="264"/>
      </w:pPr>
      <w:r>
        <w:rPr>
          <w:b w:val="false"/>
          <w:bCs w:val="false"/>
          <w:i w:val="false"/>
          <w:iCs w:val="false"/>
        </w:rPr>
        <w:t xml:space="preserve">Our fees are based on the time and skill required to complete the engagement and will be billed as the work progresses. An estimate for the current year is [amount or basis].</w:t>
      </w:r>
    </w:p>
    <w:p>
      <w:pPr>
        <w:pStyle w:val="Heading2"/>
      </w:pPr>
      <w:r>
        <w:t xml:space="preserve">Limitation and ownership of records</w:t>
      </w:r>
    </w:p>
    <w:p>
      <w:pPr>
        <w:spacing w:after="120" w:line="264"/>
      </w:pPr>
      <w:r>
        <w:rPr>
          <w:b w:val="false"/>
          <w:bCs w:val="false"/>
          <w:i w:val="false"/>
          <w:iCs w:val="false"/>
        </w:rPr>
        <w:t xml:space="preserve">Our working papers remain our property. We will retain them in accordance with our professional and legal obligations. This engagement does not relieve the trustees of their own statutory responsibilities.</w:t>
      </w:r>
    </w:p>
    <w:p>
      <w:pPr>
        <w:spacing w:after="80"/>
      </w:pPr>
      <w:r>
        <w:t xml:space="preserve"/>
      </w:r>
    </w:p>
    <w:p>
      <w:pPr>
        <w:spacing w:after="120" w:line="264"/>
      </w:pPr>
      <w:r>
        <w:rPr>
          <w:b w:val="false"/>
          <w:bCs w:val="false"/>
          <w:i w:val="false"/>
          <w:iCs w:val="false"/>
        </w:rPr>
        <w:t xml:space="preserve">Yours faithfully</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Approved SMSF auditor</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Auditor registration number</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Date</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bl>
    <w:p>
      <w:pPr>
        <w:spacing w:after="80"/>
      </w:pPr>
      <w:r>
        <w:t xml:space="preserve"/>
      </w:r>
    </w:p>
    <w:p>
      <w:pPr>
        <w:pBdr>
          <w:bottom w:val="single" w:color="2E75B6" w:sz="6" w:space="1"/>
        </w:pBdr>
        <w:spacing w:after="120" w:before="40"/>
      </w:pPr>
      <w:r>
        <w:t xml:space="preserve"/>
      </w:r>
    </w:p>
    <w:p>
      <w:pPr>
        <w:pStyle w:val="Heading2"/>
      </w:pPr>
      <w:r>
        <w:t xml:space="preserve">Acceptance by the trustees</w:t>
      </w:r>
    </w:p>
    <w:p>
      <w:pPr>
        <w:spacing w:after="120" w:line="264"/>
      </w:pPr>
      <w:r>
        <w:rPr>
          <w:b w:val="false"/>
          <w:bCs w:val="false"/>
          <w:i w:val="false"/>
          <w:iCs w:val="false"/>
        </w:rPr>
        <w:t xml:space="preserve">We have read and agree to the terms of this engagement on behalf of the trustees of the fund.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pPr>
              <w:spacing w:after="0" w:line="264"/>
            </w:pPr>
            <w:r>
              <w:rPr>
                <w:b w:val="false"/>
                <w:bCs w:val="false"/>
                <w:i w:val="false"/>
                <w:iCs w:val="false"/>
              </w:rPr>
              <w:t xml:space="preserve">Trustee name:</w:t>
            </w:r>
          </w:p>
          <w:p>
            <w:pPr>
              <w:spacing w:after="40"/>
            </w:pPr>
            <w:r>
              <w:t xml:space="preserve"/>
            </w:r>
          </w:p>
          <w:p>
            <w:pPr>
              <w:spacing w:after="0" w:line="264"/>
            </w:pPr>
            <w:r>
              <w:rPr>
                <w:b w:val="false"/>
                <w:bCs w:val="false"/>
                <w:i w:val="false"/>
                <w:iCs w:val="false"/>
              </w:rPr>
              <w:t xml:space="preserve">Signature:</w:t>
            </w:r>
          </w:p>
          <w:p>
            <w:pPr>
              <w:spacing w:after="40"/>
            </w:pPr>
            <w:r>
              <w:t xml:space="preserve"/>
            </w:r>
          </w:p>
          <w:p>
            <w:pPr>
              <w:spacing w:after="0" w:line="264"/>
            </w:pPr>
            <w:r>
              <w:rPr>
                <w:b w:val="false"/>
                <w:bCs w:val="false"/>
                <w:i w:val="false"/>
                <w:iCs w:val="false"/>
              </w:rPr>
              <w:t xml:space="preserve">Date:</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pPr>
              <w:spacing w:after="0" w:line="264"/>
            </w:pPr>
            <w:r>
              <w:rPr>
                <w:b w:val="false"/>
                <w:bCs w:val="false"/>
                <w:i w:val="false"/>
                <w:iCs w:val="false"/>
              </w:rPr>
              <w:t xml:space="preserve">Trustee name:</w:t>
            </w:r>
          </w:p>
          <w:p>
            <w:pPr>
              <w:spacing w:after="40"/>
            </w:pPr>
            <w:r>
              <w:t xml:space="preserve"/>
            </w:r>
          </w:p>
          <w:p>
            <w:pPr>
              <w:spacing w:after="0" w:line="264"/>
            </w:pPr>
            <w:r>
              <w:rPr>
                <w:b w:val="false"/>
                <w:bCs w:val="false"/>
                <w:i w:val="false"/>
                <w:iCs w:val="false"/>
              </w:rPr>
              <w:t xml:space="preserve">Signature:</w:t>
            </w:r>
          </w:p>
          <w:p>
            <w:pPr>
              <w:spacing w:after="40"/>
            </w:pPr>
            <w:r>
              <w:t xml:space="preserve"/>
            </w:r>
          </w:p>
          <w:p>
            <w:pPr>
              <w:spacing w:after="0" w:line="264"/>
            </w:pPr>
            <w:r>
              <w:rPr>
                <w:b w:val="false"/>
                <w:bCs w:val="false"/>
                <w:i w:val="false"/>
                <w:iCs w:val="false"/>
              </w:rPr>
              <w:t xml:space="preserve">Date:</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template for professional use. Not advice on a specific fund.</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Engagement letter</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2026-06-29T13:16:12.897Z</dcterms:created>
  <dcterms:modified xsi:type="dcterms:W3CDTF">2026-06-29T13:16:12.897Z</dcterms:modified>
</cp:coreProperties>
</file>

<file path=docProps/custom.xml><?xml version="1.0" encoding="utf-8"?>
<Properties xmlns="http://schemas.openxmlformats.org/officeDocument/2006/custom-properties" xmlns:vt="http://schemas.openxmlformats.org/officeDocument/2006/docPropsVTypes"/>
</file>