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24</w:t>
      </w:r>
    </w:p>
    <w:p>
      <w:pPr>
        <w:spacing w:after="40"/>
      </w:pPr>
      <w:r>
        <w:rPr>
          <w:b/>
          <w:bCs/>
          <w:color w:val="1F3A5F"/>
          <w:sz w:val="36"/>
          <w:szCs w:val="36"/>
        </w:rPr>
        <w:t xml:space="preserve">How to report transfer balance account events (TBAR)</w:t>
      </w:r>
    </w:p>
    <w:p>
      <w:pPr>
        <w:spacing w:after="160"/>
      </w:pPr>
      <w:r>
        <w:rPr>
          <w:color w:val="595959"/>
          <w:sz w:val="22"/>
          <w:szCs w:val="22"/>
        </w:rPr>
        <w:t xml:space="preserve">What to report, the quarterly timing and the tighter deadlines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Accountants, SMSF administrators and trustees responsible for transfer balance account reporting, and auditors confirming it has been done.</w:t>
            </w:r>
          </w:p>
        </w:tc>
      </w:tr>
    </w:tbl>
    <w:p>
      <w:pPr>
        <w:spacing w:after="80"/>
      </w:pPr>
      <w:r>
        <w:t xml:space="preserve"/>
      </w:r>
    </w:p>
    <w:p>
      <w:pPr>
        <w:spacing w:after="120" w:line="264"/>
      </w:pPr>
      <w:r>
        <w:rPr>
          <w:sz w:val="21"/>
          <w:szCs w:val="21"/>
        </w:rPr>
        <w:t xml:space="preserve">The transfer balance account report, or TBAR, is how an SMSF tells the regulator about events that affect a member's transfer balance account, such as starting a retirement phase pension or making a commutation. The reporting is event based and the timing matters. This guide explains what to report and when.</w:t>
      </w:r>
    </w:p>
    <w:p>
      <w:pPr>
        <w:pStyle w:val="Heading2"/>
      </w:pPr>
      <w:r>
        <w:t xml:space="preserve">1. What the transfer balance account is</w:t>
      </w:r>
    </w:p>
    <w:p>
      <w:pPr>
        <w:spacing w:after="120" w:line="264"/>
      </w:pPr>
      <w:r>
        <w:rPr>
          <w:b w:val="false"/>
          <w:bCs w:val="false"/>
          <w:i w:val="false"/>
          <w:iCs w:val="false"/>
        </w:rPr>
        <w:t xml:space="preserve">Each member has a transfer balance account that tracks amounts moving into and out of retirement phase against the transfer balance cap. Certain events change the balance of that account, and those events must be reported so the regulator can monitor the member's position against the cap.</w:t>
      </w:r>
    </w:p>
    <w:p>
      <w:pPr>
        <w:pStyle w:val="Heading2"/>
      </w:pPr>
      <w:r>
        <w:t xml:space="preserve">2. All SMSFs report quarterly</w:t>
      </w:r>
    </w:p>
    <w:p>
      <w:pPr>
        <w:spacing w:after="120" w:line="264"/>
      </w:pPr>
      <w:r>
        <w:rPr>
          <w:b w:val="false"/>
          <w:bCs w:val="false"/>
          <w:i w:val="false"/>
          <w:iCs w:val="false"/>
        </w:rPr>
        <w:t xml:space="preserve">From 1 July 2023, all SMSFs report transfer balance events on the same quarterly basis, regardless of any member's total super balance. The previous threshold that allowed some funds to report annually was removed. Reporting is event based, so there is nothing to lodge in a quarter in which no reportable event occurs.</w:t>
      </w:r>
    </w:p>
    <w:p>
      <w:pPr>
        <w:pStyle w:val="Heading2"/>
      </w:pPr>
      <w:r>
        <w:t xml:space="preserve">3. The standard timing</w:t>
      </w:r>
    </w:p>
    <w:p>
      <w:pPr>
        <w:spacing w:after="120" w:line="264"/>
      </w:pPr>
      <w:r>
        <w:rPr>
          <w:b w:val="false"/>
          <w:bCs w:val="false"/>
          <w:i w:val="false"/>
          <w:iCs w:val="false"/>
        </w:rPr>
        <w:t xml:space="preserve">A reportable event must be reported within 28 days after the end of the quarter in which it occurs. The usual quarterly dates are 28 January, 28 April, 28 July and 28 October.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Event occurs in quarter ending</w:t>
            </w:r>
          </w:p>
        </w:tc>
        <w:tc>
          <w:tcPr>
            <w:tcW w:type="dxa" w:w="468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Report by</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31 March</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28 April</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30 June</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28 July</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30 September</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28 October</w:t>
            </w:r>
          </w:p>
        </w:tc>
      </w:tr>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31 December</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28 January</w:t>
            </w:r>
          </w:p>
        </w:tc>
      </w:tr>
    </w:tbl>
    <w:p>
      <w:pPr>
        <w:pStyle w:val="Heading2"/>
      </w:pPr>
      <w:r>
        <w:t xml:space="preserve">4. Common reportable events</w:t>
      </w:r>
    </w:p>
    <w:p>
      <w:pPr>
        <w:pStyle w:val="ListParagraph"/>
        <w:numPr>
          <w:ilvl w:val="0"/>
          <w:numId w:val="2"/>
        </w:numPr>
        <w:spacing w:after="60" w:line="264"/>
      </w:pPr>
      <w:r>
        <w:t xml:space="preserve">Starting a retirement phase income stream, including a death benefit income stream.</w:t>
      </w:r>
    </w:p>
    <w:p>
      <w:pPr>
        <w:pStyle w:val="ListParagraph"/>
        <w:numPr>
          <w:ilvl w:val="0"/>
          <w:numId w:val="2"/>
        </w:numPr>
        <w:spacing w:after="60" w:line="264"/>
      </w:pPr>
      <w:r>
        <w:t xml:space="preserve">A full or partial commutation of a retirement phase income stream.</w:t>
      </w:r>
    </w:p>
    <w:p>
      <w:pPr>
        <w:pStyle w:val="ListParagraph"/>
        <w:numPr>
          <w:ilvl w:val="0"/>
          <w:numId w:val="2"/>
        </w:numPr>
        <w:spacing w:after="60" w:line="264"/>
      </w:pPr>
      <w:r>
        <w:t xml:space="preserve">Certain limited recourse borrowing arrangement repayments that give rise to a transfer balance credit.</w:t>
      </w:r>
    </w:p>
    <w:p>
      <w:pPr>
        <w:pStyle w:val="ListParagraph"/>
        <w:numPr>
          <w:ilvl w:val="0"/>
          <w:numId w:val="2"/>
        </w:numPr>
        <w:spacing w:after="60" w:line="264"/>
      </w:pPr>
      <w:r>
        <w:t xml:space="preserve">A personal injury or structured settlement contribution.</w:t>
      </w:r>
    </w:p>
    <w:p>
      <w:pPr>
        <w:pStyle w:val="ListParagraph"/>
        <w:numPr>
          <w:ilvl w:val="0"/>
          <w:numId w:val="2"/>
        </w:numPr>
        <w:spacing w:after="60" w:line="264"/>
      </w:pPr>
      <w:r>
        <w:t xml:space="preserve">Compliance with a commutation authority issued by the regulator.</w:t>
      </w:r>
    </w:p>
    <w:p>
      <w:pPr>
        <w:pStyle w:val="Heading2"/>
      </w:pPr>
      <w:r>
        <w:t xml:space="preserve">5. Tighter deadlines that override the quarterly rule</w:t>
      </w:r>
    </w:p>
    <w:p>
      <w:pPr>
        <w:spacing w:after="120" w:line="264"/>
      </w:pPr>
      <w:r>
        <w:rPr>
          <w:b w:val="false"/>
          <w:bCs w:val="false"/>
          <w:i w:val="false"/>
          <w:iCs w:val="false"/>
        </w:rPr>
        <w:t xml:space="preserve">Some events must be reported sooner. Where a member voluntarily commutes an excess transfer balance in response to a determination, the commutation must be reported within a short period after the month end. A response to a commutation authority has its own deadline. Where one of these applies, the tighter deadline overrides the quarterly rule, so do not wait for the quarter to close.</w:t>
      </w:r>
    </w:p>
    <w:p>
      <w:pPr>
        <w:pStyle w:val="Heading2"/>
      </w:pPr>
      <w:r>
        <w:t xml:space="preserve">6. What the auditor checks</w:t>
      </w:r>
    </w:p>
    <w:p>
      <w:pPr>
        <w:pStyle w:val="ListParagraph"/>
        <w:numPr>
          <w:ilvl w:val="0"/>
          <w:numId w:val="2"/>
        </w:numPr>
        <w:spacing w:after="60" w:line="264"/>
      </w:pPr>
      <w:r>
        <w:t xml:space="preserve">That events during the year were identified and reported.</w:t>
      </w:r>
    </w:p>
    <w:p>
      <w:pPr>
        <w:pStyle w:val="ListParagraph"/>
        <w:numPr>
          <w:ilvl w:val="0"/>
          <w:numId w:val="2"/>
        </w:numPr>
        <w:spacing w:after="60" w:line="264"/>
      </w:pPr>
      <w:r>
        <w:t xml:space="preserve">That the reporting was within the required timeframe.</w:t>
      </w:r>
    </w:p>
    <w:p>
      <w:pPr>
        <w:pStyle w:val="ListParagraph"/>
        <w:numPr>
          <w:ilvl w:val="0"/>
          <w:numId w:val="2"/>
        </w:numPr>
        <w:spacing w:after="60" w:line="264"/>
      </w:pPr>
      <w:r>
        <w:t xml:space="preserve">That a missed or late report is noted, as it is a separate compliance issue from the fund's own obligations.</w:t>
      </w:r>
    </w:p>
    <w:p>
      <w:pPr>
        <w:pStyle w:val="Heading2"/>
      </w:pPr>
      <w:r>
        <w:t xml:space="preserve">Common pitfalls</w:t>
      </w:r>
    </w:p>
    <w:p>
      <w:pPr>
        <w:pStyle w:val="ListParagraph"/>
        <w:numPr>
          <w:ilvl w:val="0"/>
          <w:numId w:val="2"/>
        </w:numPr>
        <w:spacing w:after="60" w:line="264"/>
      </w:pPr>
      <w:r>
        <w:t xml:space="preserve">Assuming nothing needs reporting because the member's balance is small.</w:t>
      </w:r>
    </w:p>
    <w:p>
      <w:pPr>
        <w:pStyle w:val="ListParagraph"/>
        <w:numPr>
          <w:ilvl w:val="0"/>
          <w:numId w:val="2"/>
        </w:numPr>
        <w:spacing w:after="60" w:line="264"/>
      </w:pPr>
      <w:r>
        <w:t xml:space="preserve">Waiting for the quarter to close when a tighter deadline applied.</w:t>
      </w:r>
    </w:p>
    <w:p>
      <w:pPr>
        <w:pStyle w:val="ListParagraph"/>
        <w:numPr>
          <w:ilvl w:val="0"/>
          <w:numId w:val="2"/>
        </w:numPr>
        <w:spacing w:after="60" w:line="264"/>
      </w:pPr>
      <w:r>
        <w:t xml:space="preserve">Missing a commutation or a pension commencement as a reportable event.</w:t>
      </w:r>
    </w:p>
    <w:p>
      <w:pPr>
        <w:pStyle w:val="ListParagraph"/>
        <w:numPr>
          <w:ilvl w:val="0"/>
          <w:numId w:val="2"/>
        </w:numPr>
        <w:spacing w:after="60" w:line="264"/>
      </w:pPr>
      <w:r>
        <w:t xml:space="preserve">Not reporting a death benefit income stream commencement.</w:t>
      </w:r>
    </w:p>
    <w:p>
      <w:pPr>
        <w:spacing w:after="80"/>
      </w:pPr>
      <w:r>
        <w:t xml:space="preserve"/>
      </w:r>
    </w:p>
    <w:p>
      <w:pPr>
        <w:spacing w:after="120" w:line="264"/>
      </w:pPr>
      <w:r>
        <w:rPr>
          <w:b w:val="false"/>
          <w:bCs w:val="false"/>
          <w:i/>
          <w:iCs/>
        </w:rPr>
        <w:t xml:space="preserve">In short, all SMSFs report transfer balance events quarterly, within 28 days of the end of the quarter, with tighter deadlines for excess commutations and commutation authorities. Identify each reportable event, report it on time, and keep the confirmations on file.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TBAR reporting</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2026-06-29T14:22:10.896Z</dcterms:created>
  <dcterms:modified xsi:type="dcterms:W3CDTF">2026-06-29T14:22:10.896Z</dcterms:modified>
</cp:coreProperties>
</file>

<file path=docProps/custom.xml><?xml version="1.0" encoding="utf-8"?>
<Properties xmlns="http://schemas.openxmlformats.org/officeDocument/2006/custom-properties" xmlns:vt="http://schemas.openxmlformats.org/officeDocument/2006/docPropsVTypes"/>
</file>