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20</w:t>
      </w:r>
    </w:p>
    <w:p>
      <w:pPr>
        <w:spacing w:after="40"/>
      </w:pPr>
      <w:r>
        <w:rPr>
          <w:b/>
          <w:bCs/>
          <w:color w:val="1F3A5F"/>
          <w:sz w:val="36"/>
          <w:szCs w:val="36"/>
        </w:rPr>
        <w:t xml:space="preserve">How to write an effective management letter</w:t>
      </w:r>
    </w:p>
    <w:p>
      <w:pPr>
        <w:spacing w:after="160"/>
      </w:pPr>
      <w:r>
        <w:rPr>
          <w:color w:val="595959"/>
          <w:sz w:val="22"/>
          <w:szCs w:val="22"/>
        </w:rPr>
        <w:t xml:space="preserve">Communicating audit matters clearly and constructively to trustees</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Approved SMSF auditors and audit staff communicating audit matters to the trustees.</w:t>
            </w:r>
          </w:p>
        </w:tc>
      </w:tr>
    </w:tbl>
    <w:p>
      <w:pPr>
        <w:spacing w:after="80"/>
      </w:pPr>
      <w:r>
        <w:t xml:space="preserve"/>
      </w:r>
    </w:p>
    <w:p>
      <w:pPr>
        <w:spacing w:after="120" w:line="264"/>
      </w:pPr>
      <w:r>
        <w:rPr>
          <w:sz w:val="21"/>
          <w:szCs w:val="21"/>
        </w:rPr>
        <w:t xml:space="preserve">The management letter is how you communicate matters to the trustees that arose during the audit. Done well it adds real value and protects you by creating a record of what you raised. Done poorly it is ignored. This guide explains how to write one that is useful and clear.</w:t>
      </w:r>
    </w:p>
    <w:p>
      <w:pPr>
        <w:pStyle w:val="Heading2"/>
      </w:pPr>
      <w:r>
        <w:t xml:space="preserve">1. What the management letter is for</w:t>
      </w:r>
    </w:p>
    <w:p>
      <w:pPr>
        <w:spacing w:after="120" w:line="264"/>
      </w:pPr>
      <w:r>
        <w:rPr>
          <w:b w:val="false"/>
          <w:bCs w:val="false"/>
          <w:i w:val="false"/>
          <w:iCs w:val="false"/>
        </w:rPr>
        <w:t xml:space="preserve">Use the management letter to raise matters that the trustees should know about and, where relevant, act on. These include control or administration weaknesses, observations, recommendations, and matters that are not themselves reportable contraventions. It complements, but does not replace, the auditor's report and the contravention report.</w:t>
      </w:r>
    </w:p>
    <w:p>
      <w:pPr>
        <w:pStyle w:val="Heading2"/>
      </w:pPr>
      <w:r>
        <w:t xml:space="preserve">2. What it is not for</w:t>
      </w:r>
    </w:p>
    <w:p>
      <w:pPr>
        <w:pStyle w:val="ListParagraph"/>
        <w:numPr>
          <w:ilvl w:val="0"/>
          <w:numId w:val="2"/>
        </w:numPr>
        <w:spacing w:after="60" w:line="264"/>
      </w:pPr>
      <w:r>
        <w:t xml:space="preserve">It does not replace a contravention report. Where a contravention is reportable, lodge the report; the management letter can note the matter as well, but is not a substitute.</w:t>
      </w:r>
    </w:p>
    <w:p>
      <w:pPr>
        <w:pStyle w:val="ListParagraph"/>
        <w:numPr>
          <w:ilvl w:val="0"/>
          <w:numId w:val="2"/>
        </w:numPr>
        <w:spacing w:after="60" w:line="264"/>
      </w:pPr>
      <w:r>
        <w:t xml:space="preserve">It does not change the opinions in the auditor's report.</w:t>
      </w:r>
    </w:p>
    <w:p>
      <w:pPr>
        <w:pStyle w:val="ListParagraph"/>
        <w:numPr>
          <w:ilvl w:val="0"/>
          <w:numId w:val="2"/>
        </w:numPr>
        <w:spacing w:after="60" w:line="264"/>
      </w:pPr>
      <w:r>
        <w:t xml:space="preserve">It is not a place to record routine matters of no consequence, which only dilute the important points.</w:t>
      </w:r>
    </w:p>
    <w:p>
      <w:pPr>
        <w:pStyle w:val="Heading2"/>
      </w:pPr>
      <w:r>
        <w:t xml:space="preserve">3. Structure each matter clearly</w:t>
      </w:r>
    </w:p>
    <w:p>
      <w:pPr>
        <w:spacing w:after="120" w:line="264"/>
      </w:pPr>
      <w:r>
        <w:rPr>
          <w:b w:val="false"/>
          <w:bCs w:val="false"/>
          <w:i w:val="false"/>
          <w:iCs w:val="false"/>
        </w:rPr>
        <w:t xml:space="preserve">For each matter, set out the observation, why it matters, and a practical recommendation. A useful structure is the matter, the implication, and the recommended action. Keep each point self-contained so a trustee can read and act on it without cross-referencing.</w:t>
      </w:r>
    </w:p>
    <w:p>
      <w:pPr>
        <w:pStyle w:val="Heading2"/>
      </w:pPr>
      <w:r>
        <w:t xml:space="preserve">4. Rate the matters</w:t>
      </w:r>
    </w:p>
    <w:p>
      <w:pPr>
        <w:spacing w:after="120" w:line="264"/>
      </w:pPr>
      <w:r>
        <w:rPr>
          <w:b w:val="false"/>
          <w:bCs w:val="false"/>
          <w:i w:val="false"/>
          <w:iCs w:val="false"/>
        </w:rPr>
        <w:t xml:space="preserve">Rating helps the trustees prioritise. A simple high, medium and low scale works well.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Rating</w:t>
            </w:r>
          </w:p>
        </w:tc>
        <w:tc>
          <w:tcPr>
            <w:tcW w:type="dxa" w:w="736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Meaning</w:t>
            </w:r>
          </w:p>
        </w:tc>
      </w:tr>
      <w:tr>
        <w:tc>
          <w:tcPr>
            <w:tcW w:type="dxa" w:w="2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High</w:t>
            </w:r>
          </w:p>
        </w:tc>
        <w:tc>
          <w:tcPr>
            <w:tcW w:type="dxa" w:w="7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Requires prompt action; may affect compliance or the value of member benefits</w:t>
            </w:r>
          </w:p>
        </w:tc>
      </w:tr>
      <w:tr>
        <w:tc>
          <w:tcPr>
            <w:tcW w:type="dxa" w:w="2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Medium</w:t>
            </w:r>
          </w:p>
        </w:tc>
        <w:tc>
          <w:tcPr>
            <w:tcW w:type="dxa" w:w="7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Should be addressed to improve the administration of the fund</w:t>
            </w:r>
          </w:p>
        </w:tc>
      </w:tr>
      <w:tr>
        <w:tc>
          <w:tcPr>
            <w:tcW w:type="dxa" w:w="2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Low</w:t>
            </w:r>
          </w:p>
        </w:tc>
        <w:tc>
          <w:tcPr>
            <w:tcW w:type="dxa" w:w="7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An observation or efficiency improvement to consider</w:t>
            </w:r>
          </w:p>
        </w:tc>
      </w:tr>
    </w:tbl>
    <w:p>
      <w:pPr>
        <w:pStyle w:val="Heading2"/>
      </w:pPr>
      <w:r>
        <w:t xml:space="preserve">5. Tone and clarity</w:t>
      </w:r>
    </w:p>
    <w:p>
      <w:pPr>
        <w:pStyle w:val="ListParagraph"/>
        <w:numPr>
          <w:ilvl w:val="0"/>
          <w:numId w:val="2"/>
        </w:numPr>
        <w:spacing w:after="60" w:line="264"/>
      </w:pPr>
      <w:r>
        <w:t xml:space="preserve">Write plainly and constructively. The aim is to help the trustees run the fund better, not to criticise.</w:t>
      </w:r>
    </w:p>
    <w:p>
      <w:pPr>
        <w:pStyle w:val="ListParagraph"/>
        <w:numPr>
          <w:ilvl w:val="0"/>
          <w:numId w:val="2"/>
        </w:numPr>
        <w:spacing w:after="60" w:line="264"/>
      </w:pPr>
      <w:r>
        <w:t xml:space="preserve">Be specific. A vague concern is easy to ignore; a specific matter with a clear action is not.</w:t>
      </w:r>
    </w:p>
    <w:p>
      <w:pPr>
        <w:pStyle w:val="ListParagraph"/>
        <w:numPr>
          <w:ilvl w:val="0"/>
          <w:numId w:val="2"/>
        </w:numPr>
        <w:spacing w:after="60" w:line="264"/>
      </w:pPr>
      <w:r>
        <w:t xml:space="preserve">Request a response where action is needed, so there is a record of the trustees' intended action.</w:t>
      </w:r>
    </w:p>
    <w:p>
      <w:pPr>
        <w:pStyle w:val="Heading2"/>
      </w:pPr>
      <w:r>
        <w:t xml:space="preserve">6. Keep a copy on the file</w:t>
      </w:r>
    </w:p>
    <w:p>
      <w:pPr>
        <w:spacing w:after="120" w:line="264"/>
      </w:pPr>
      <w:r>
        <w:rPr>
          <w:b w:val="false"/>
          <w:bCs w:val="false"/>
          <w:i w:val="false"/>
          <w:iCs w:val="false"/>
        </w:rPr>
        <w:t xml:space="preserve">The management letter is part of the audit record. Keeping a copy demonstrates that you raised the matter, which protects you if the same issue recurs or is later questioned. Where you raised a matter in a prior year that remains unresolved, note that it was previously raised.</w:t>
      </w:r>
    </w:p>
    <w:p>
      <w:pPr>
        <w:pStyle w:val="Heading2"/>
      </w:pPr>
      <w:r>
        <w:t xml:space="preserve">Common pitfalls</w:t>
      </w:r>
    </w:p>
    <w:p>
      <w:pPr>
        <w:pStyle w:val="ListParagraph"/>
        <w:numPr>
          <w:ilvl w:val="0"/>
          <w:numId w:val="2"/>
        </w:numPr>
        <w:spacing w:after="60" w:line="264"/>
      </w:pPr>
      <w:r>
        <w:t xml:space="preserve">Using the letter as a substitute for a contravention report.</w:t>
      </w:r>
    </w:p>
    <w:p>
      <w:pPr>
        <w:pStyle w:val="ListParagraph"/>
        <w:numPr>
          <w:ilvl w:val="0"/>
          <w:numId w:val="2"/>
        </w:numPr>
        <w:spacing w:after="60" w:line="264"/>
      </w:pPr>
      <w:r>
        <w:t xml:space="preserve">Vague matters with no clear recommendation or action.</w:t>
      </w:r>
    </w:p>
    <w:p>
      <w:pPr>
        <w:pStyle w:val="ListParagraph"/>
        <w:numPr>
          <w:ilvl w:val="0"/>
          <w:numId w:val="2"/>
        </w:numPr>
        <w:spacing w:after="60" w:line="264"/>
      </w:pPr>
      <w:r>
        <w:t xml:space="preserve">No rating, so the trustees cannot tell what is urgent.</w:t>
      </w:r>
    </w:p>
    <w:p>
      <w:pPr>
        <w:pStyle w:val="ListParagraph"/>
        <w:numPr>
          <w:ilvl w:val="0"/>
          <w:numId w:val="2"/>
        </w:numPr>
        <w:spacing w:after="60" w:line="264"/>
      </w:pPr>
      <w:r>
        <w:t xml:space="preserve">No copy retained, so there is no record of what was raised.</w:t>
      </w:r>
    </w:p>
    <w:p>
      <w:pPr>
        <w:spacing w:after="80"/>
      </w:pPr>
      <w:r>
        <w:t xml:space="preserve"/>
      </w:r>
    </w:p>
    <w:p>
      <w:pPr>
        <w:spacing w:after="120" w:line="264"/>
      </w:pPr>
      <w:r>
        <w:rPr>
          <w:b w:val="false"/>
          <w:bCs w:val="false"/>
          <w:i/>
          <w:iCs/>
        </w:rPr>
        <w:t xml:space="preserve">In short, use the management letter for matters the trustees should act on, structure each as observation, implication and action, rate them so priorities are clear, write constructively, and keep a copy on the file.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Management letter</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2026-06-29T13:39:47.858Z</dcterms:created>
  <dcterms:modified xsi:type="dcterms:W3CDTF">2026-06-29T13:39:47.858Z</dcterms:modified>
</cp:coreProperties>
</file>

<file path=docProps/custom.xml><?xml version="1.0" encoding="utf-8"?>
<Properties xmlns="http://schemas.openxmlformats.org/officeDocument/2006/custom-properties" xmlns:vt="http://schemas.openxmlformats.org/officeDocument/2006/docPropsVTypes"/>
</file>