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17</w:t>
      </w:r>
    </w:p>
    <w:p>
      <w:pPr>
        <w:spacing w:after="40"/>
      </w:pPr>
      <w:r>
        <w:rPr>
          <w:b/>
          <w:bCs/>
          <w:color w:val="1F3A5F"/>
          <w:sz w:val="36"/>
          <w:szCs w:val="36"/>
        </w:rPr>
        <w:t xml:space="preserve">How to identify NALI and NALE</w:t>
      </w:r>
    </w:p>
    <w:p>
      <w:pPr>
        <w:spacing w:after="160"/>
      </w:pPr>
      <w:r>
        <w:rPr>
          <w:color w:val="595959"/>
          <w:sz w:val="22"/>
          <w:szCs w:val="22"/>
        </w:rPr>
        <w:t xml:space="preserve">Non-arm's-length income and expenditure and the general expense cap</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identifying non-arm's-length income and expenditure.</w:t>
            </w:r>
          </w:p>
        </w:tc>
      </w:tr>
    </w:tbl>
    <w:p>
      <w:pPr>
        <w:spacing w:after="80"/>
      </w:pPr>
      <w:r>
        <w:t xml:space="preserve"/>
      </w:r>
    </w:p>
    <w:p>
      <w:pPr>
        <w:spacing w:after="120" w:line="264"/>
      </w:pPr>
      <w:r>
        <w:rPr>
          <w:sz w:val="21"/>
          <w:szCs w:val="21"/>
        </w:rPr>
        <w:t xml:space="preserve">Non-arm's-length income and non-arm's-length expenditure can tax fund income at the top rate, so identifying them is important. The rules changed, and the position now distinguishes general expenses from specific expenses. This guide explains what to look for and the current treatment.</w:t>
      </w:r>
    </w:p>
    <w:p>
      <w:pPr>
        <w:pStyle w:val="Heading2"/>
      </w:pPr>
      <w:r>
        <w:t xml:space="preserve">1. What the rules do</w:t>
      </w:r>
    </w:p>
    <w:p>
      <w:pPr>
        <w:spacing w:after="120" w:line="264"/>
      </w:pPr>
      <w:r>
        <w:rPr>
          <w:b w:val="false"/>
          <w:bCs w:val="false"/>
          <w:i w:val="false"/>
          <w:iCs w:val="false"/>
        </w:rPr>
        <w:t xml:space="preserve">Where a fund derives income under a non-arm's-length arrangement, that income is non-arm's-length income and is taxed at the top marginal rate rather than the concessional fund rate. A non-arm's-length expense, meaning a cost incurred below market value under a non-arm's-length dealing, can also give rise to non-arm's-length income, because the under-spending inflates the fund's net return.</w:t>
      </w:r>
    </w:p>
    <w:p>
      <w:pPr>
        <w:pStyle w:val="Heading2"/>
      </w:pPr>
      <w:r>
        <w:t xml:space="preserve">2. Income that is commonly non-arm's-length</w:t>
      </w:r>
    </w:p>
    <w:p>
      <w:pPr>
        <w:pStyle w:val="ListParagraph"/>
        <w:numPr>
          <w:ilvl w:val="0"/>
          <w:numId w:val="2"/>
        </w:numPr>
        <w:spacing w:after="60" w:line="264"/>
      </w:pPr>
      <w:r>
        <w:t xml:space="preserve">Rent received above market rate from a related party.</w:t>
      </w:r>
    </w:p>
    <w:p>
      <w:pPr>
        <w:pStyle w:val="ListParagraph"/>
        <w:numPr>
          <w:ilvl w:val="0"/>
          <w:numId w:val="2"/>
        </w:numPr>
        <w:spacing w:after="60" w:line="264"/>
      </w:pPr>
      <w:r>
        <w:t xml:space="preserve">Income from a related party loan or arrangement on non-commercial terms.</w:t>
      </w:r>
    </w:p>
    <w:p>
      <w:pPr>
        <w:pStyle w:val="ListParagraph"/>
        <w:numPr>
          <w:ilvl w:val="0"/>
          <w:numId w:val="2"/>
        </w:numPr>
        <w:spacing w:after="60" w:line="264"/>
      </w:pPr>
      <w:r>
        <w:t xml:space="preserve">Distributions from a related trust on non-arm's-length terms.</w:t>
      </w:r>
    </w:p>
    <w:p>
      <w:pPr>
        <w:pStyle w:val="ListParagraph"/>
        <w:numPr>
          <w:ilvl w:val="0"/>
          <w:numId w:val="2"/>
        </w:numPr>
        <w:spacing w:after="60" w:line="264"/>
      </w:pPr>
      <w:r>
        <w:t xml:space="preserve">Income from an LRBA that was on non-arm's-length terms.</w:t>
      </w:r>
    </w:p>
    <w:p>
      <w:pPr>
        <w:pStyle w:val="Heading2"/>
      </w:pPr>
      <w:r>
        <w:t xml:space="preserve">3. The expense rules: general versus specific</w:t>
      </w:r>
    </w:p>
    <w:p>
      <w:pPr>
        <w:spacing w:after="120" w:line="264"/>
      </w:pPr>
      <w:r>
        <w:rPr>
          <w:b w:val="false"/>
          <w:bCs w:val="false"/>
          <w:i w:val="false"/>
          <w:iCs w:val="false"/>
        </w:rPr>
        <w:t xml:space="preserve">The treatment depends on whether the expense is a general expense of the fund or relates to a specific asset.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Type of expense</w:t>
            </w:r>
          </w:p>
        </w:tc>
        <w:tc>
          <w:tcPr>
            <w:tcW w:type="dxa" w:w="57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Current treatment</w:t>
            </w:r>
          </w:p>
        </w:tc>
      </w:tr>
      <w:tr>
        <w:tc>
          <w:tcPr>
            <w:tcW w:type="dxa" w:w="36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General expense (for example accounting or administration below market)</w:t>
            </w:r>
          </w:p>
        </w:tc>
        <w:tc>
          <w:tcPr>
            <w:tcW w:type="dxa" w:w="57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The non-arm's-length income is capped at twice the difference between the arm's-length and the actual expense</w:t>
            </w:r>
          </w:p>
        </w:tc>
      </w:tr>
      <w:tr>
        <w:tc>
          <w:tcPr>
            <w:tcW w:type="dxa" w:w="36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Specific expense (tied to a particular asset)</w:t>
            </w:r>
          </w:p>
        </w:tc>
        <w:tc>
          <w:tcPr>
            <w:tcW w:type="dxa" w:w="57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Can taint the income and the capital gain on that asset, taxed at the top rate, without the cap</w:t>
            </w:r>
          </w:p>
        </w:tc>
      </w:tr>
    </w:tbl>
    <w:p>
      <w:pPr>
        <w:spacing w:after="120" w:line="264"/>
      </w:pPr>
      <w:r>
        <w:rPr>
          <w:b w:val="false"/>
          <w:bCs w:val="false"/>
          <w:i/>
          <w:iCs/>
        </w:rPr>
        <w:t xml:space="preserve">The general expense cap and the current position reflect the amendments that applied from 1 July 2024. Confirm all caps and figures against the relevant year before relying on them. The figures below are current for the 2025-26 year unless stated.</w:t>
      </w:r>
    </w:p>
    <w:p>
      <w:pPr>
        <w:pStyle w:val="Heading2"/>
      </w:pPr>
      <w:r>
        <w:t xml:space="preserve">4. Trustee work done in a trustee capacity</w:t>
      </w:r>
    </w:p>
    <w:p>
      <w:pPr>
        <w:spacing w:after="120" w:line="264"/>
      </w:pPr>
      <w:r>
        <w:rPr>
          <w:b w:val="false"/>
          <w:bCs w:val="false"/>
          <w:i w:val="false"/>
          <w:iCs w:val="false"/>
        </w:rPr>
        <w:t xml:space="preserve">Work performed by a trustee in their capacity as trustee, for no remuneration, does not give rise to non-arm's-length expenditure. The concern arises where a related party provides a service to the fund in a business capacity at below market cost. Distinguish the two carefully.</w:t>
      </w:r>
    </w:p>
    <w:p>
      <w:pPr>
        <w:pStyle w:val="Heading2"/>
      </w:pPr>
      <w:r>
        <w:t xml:space="preserve">5. What to do when you find it</w:t>
      </w:r>
    </w:p>
    <w:p>
      <w:pPr>
        <w:spacing w:after="120" w:line="264"/>
      </w:pPr>
      <w:r>
        <w:rPr>
          <w:b w:val="false"/>
          <w:bCs w:val="false"/>
          <w:i w:val="false"/>
          <w:iCs w:val="false"/>
        </w:rPr>
        <w:t xml:space="preserve">Where you identify a non-arm's-length arrangement, consider the effect on the financial audit, because the income and tax may be misstated, and on the compliance audit, because the underlying dealing usually breaches the arm's-length requirement. Report the contravention where the criteria are met, and ensure the income is correctly characterised.</w:t>
      </w:r>
    </w:p>
    <w:p>
      <w:pPr>
        <w:pStyle w:val="Heading2"/>
      </w:pPr>
      <w:r>
        <w:t xml:space="preserve">Common pitfalls</w:t>
      </w:r>
    </w:p>
    <w:p>
      <w:pPr>
        <w:pStyle w:val="ListParagraph"/>
        <w:numPr>
          <w:ilvl w:val="0"/>
          <w:numId w:val="2"/>
        </w:numPr>
        <w:spacing w:after="60" w:line="264"/>
      </w:pPr>
      <w:r>
        <w:t xml:space="preserve">Treating below-market related party services as harmless.</w:t>
      </w:r>
    </w:p>
    <w:p>
      <w:pPr>
        <w:pStyle w:val="ListParagraph"/>
        <w:numPr>
          <w:ilvl w:val="0"/>
          <w:numId w:val="2"/>
        </w:numPr>
        <w:spacing w:after="60" w:line="264"/>
      </w:pPr>
      <w:r>
        <w:t xml:space="preserve">Missing that a non-arm's-length LRBA taints all income from the asset.</w:t>
      </w:r>
    </w:p>
    <w:p>
      <w:pPr>
        <w:pStyle w:val="ListParagraph"/>
        <w:numPr>
          <w:ilvl w:val="0"/>
          <w:numId w:val="2"/>
        </w:numPr>
        <w:spacing w:after="60" w:line="264"/>
      </w:pPr>
      <w:r>
        <w:t xml:space="preserve">Confusing trustee work in a trustee capacity with a business service.</w:t>
      </w:r>
    </w:p>
    <w:p>
      <w:pPr>
        <w:pStyle w:val="ListParagraph"/>
        <w:numPr>
          <w:ilvl w:val="0"/>
          <w:numId w:val="2"/>
        </w:numPr>
        <w:spacing w:after="60" w:line="264"/>
      </w:pPr>
      <w:r>
        <w:t xml:space="preserve">Overlooking the tax misstatement that follows non-arm's-length income.</w:t>
      </w:r>
    </w:p>
    <w:p>
      <w:pPr>
        <w:spacing w:after="80"/>
      </w:pPr>
      <w:r>
        <w:t xml:space="preserve"/>
      </w:r>
    </w:p>
    <w:p>
      <w:pPr>
        <w:spacing w:after="120" w:line="264"/>
      </w:pPr>
      <w:r>
        <w:rPr>
          <w:b w:val="false"/>
          <w:bCs w:val="false"/>
          <w:i/>
          <w:iCs/>
        </w:rPr>
        <w:t xml:space="preserve">In short, look for income and expenses that are not on market terms with related parties, apply the general versus specific expense treatment, and remember that a non-arm's-length dealing is usually both a tax problem and a compliance breach.</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NALI and NALE</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2026-06-29T13:37:45.484Z</dcterms:created>
  <dcterms:modified xsi:type="dcterms:W3CDTF">2026-06-29T13:37:45.484Z</dcterms:modified>
</cp:coreProperties>
</file>

<file path=docProps/custom.xml><?xml version="1.0" encoding="utf-8"?>
<Properties xmlns="http://schemas.openxmlformats.org/officeDocument/2006/custom-properties" xmlns:vt="http://schemas.openxmlformats.org/officeDocument/2006/docPropsVTypes"/>
</file>