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15</w:t>
      </w:r>
    </w:p>
    <w:p>
      <w:pPr>
        <w:spacing w:after="40"/>
      </w:pPr>
      <w:r>
        <w:rPr>
          <w:b/>
          <w:bCs/>
          <w:color w:val="1F3A5F"/>
          <w:sz w:val="36"/>
          <w:szCs w:val="36"/>
        </w:rPr>
        <w:t xml:space="preserve">How to audit contributions and contribution caps</w:t>
      </w:r>
    </w:p>
    <w:p>
      <w:pPr>
        <w:spacing w:after="160"/>
      </w:pPr>
      <w:r>
        <w:rPr>
          <w:color w:val="595959"/>
          <w:sz w:val="22"/>
          <w:szCs w:val="22"/>
        </w:rPr>
        <w:t xml:space="preserve">Acceptance standards, recording and the current caps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auditing contributions and testing the acceptance standards.</w:t>
            </w:r>
          </w:p>
        </w:tc>
      </w:tr>
    </w:tbl>
    <w:p>
      <w:pPr>
        <w:spacing w:after="80"/>
      </w:pPr>
      <w:r>
        <w:t xml:space="preserve"/>
      </w:r>
    </w:p>
    <w:p>
      <w:pPr>
        <w:spacing w:after="120" w:line="264"/>
      </w:pPr>
      <w:r>
        <w:rPr>
          <w:sz w:val="21"/>
          <w:szCs w:val="21"/>
        </w:rPr>
        <w:t xml:space="preserve">Contributions must be permitted to be accepted and correctly recorded. The auditor tests acceptance, not the member's personal tax position, but the caps are relevant context and excess contributions can signal a recording or acceptance problem. This guide explains what to test.</w:t>
      </w:r>
    </w:p>
    <w:p>
      <w:pPr>
        <w:pStyle w:val="Heading2"/>
      </w:pPr>
      <w:r>
        <w:t xml:space="preserve">1. The reference figures (2025-26)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Cap or threshold</w:t>
            </w:r>
          </w:p>
        </w:tc>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Amount</w:t>
            </w:r>
          </w:p>
        </w:tc>
      </w:tr>
      <w:tr>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Concessional contributions cap</w:t>
            </w:r>
          </w:p>
        </w:tc>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$30,000</w:t>
            </w:r>
          </w:p>
        </w:tc>
      </w:tr>
      <w:tr>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Non-concessional contributions cap</w:t>
            </w:r>
          </w:p>
        </w:tc>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$120,000</w:t>
            </w:r>
          </w:p>
        </w:tc>
      </w:tr>
      <w:tr>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Bring-forward over three years</w:t>
            </w:r>
          </w:p>
        </w:tc>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$360,000</w:t>
            </w:r>
          </w:p>
        </w:tc>
      </w:tr>
      <w:tr>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Total super balance threshold for non-concessional eligibility</w:t>
            </w:r>
          </w:p>
        </w:tc>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$2,000,000</w:t>
            </w:r>
          </w:p>
        </w:tc>
      </w:tr>
      <w:tr>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Carry-forward concessional available where prior 30 June balance is below</w:t>
            </w:r>
          </w:p>
        </w:tc>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$500,000</w:t>
            </w:r>
          </w:p>
        </w:tc>
      </w:tr>
    </w:tbl>
    <w:p>
      <w:pPr>
        <w:spacing w:after="120" w:line="264"/>
      </w:pPr>
      <w:r>
        <w:rPr>
          <w:b w:val="false"/>
          <w:bCs w:val="false"/>
          <w:i/>
          <w:iCs/>
        </w:rPr>
        <w:t xml:space="preserve">Confirm all caps and figures against the relevant year before relying on them. The figures below are current for the 2025-26 year unless stated. From 1 July 2026 the concessional cap rises to $32,500 and the non-concessional cap to $130,000.</w:t>
      </w:r>
    </w:p>
    <w:p>
      <w:pPr>
        <w:pStyle w:val="Heading2"/>
      </w:pPr>
      <w:r>
        <w:t xml:space="preserve">2. Test acceptance</w:t>
      </w:r>
    </w:p>
    <w:p>
      <w:pPr>
        <w:spacing w:after="120" w:line="264"/>
      </w:pPr>
      <w:r>
        <w:rPr>
          <w:b w:val="false"/>
          <w:bCs w:val="false"/>
          <w:i w:val="false"/>
          <w:iCs w:val="false"/>
        </w:rPr>
        <w:t xml:space="preserve">The core compliance question is whether each contribution was permitted to be accepted under the acceptance standards. The standards turn mainly on the member's age and, in some cases, whether the work test or another condition is met. A contribution accepted when it should not have been is a breach of the acceptance regulation.</w:t>
      </w:r>
    </w:p>
    <w:p>
      <w:pPr>
        <w:pStyle w:val="Heading2"/>
      </w:pPr>
      <w:r>
        <w:t xml:space="preserve">3. Recording and category</w:t>
      </w:r>
    </w:p>
    <w:p>
      <w:pPr>
        <w:pStyle w:val="ListParagraph"/>
        <w:numPr>
          <w:ilvl w:val="0"/>
          <w:numId w:val="2"/>
        </w:numPr>
        <w:spacing w:after="60" w:line="264"/>
      </w:pPr>
      <w:r>
        <w:t xml:space="preserve">Contributions are recorded in the correct member's account.</w:t>
      </w:r>
    </w:p>
    <w:p>
      <w:pPr>
        <w:pStyle w:val="ListParagraph"/>
        <w:numPr>
          <w:ilvl w:val="0"/>
          <w:numId w:val="2"/>
        </w:numPr>
        <w:spacing w:after="60" w:line="264"/>
      </w:pPr>
      <w:r>
        <w:t xml:space="preserve">Each contribution is allocated to the correct category, concessional or non-concessional.</w:t>
      </w:r>
    </w:p>
    <w:p>
      <w:pPr>
        <w:pStyle w:val="ListParagraph"/>
        <w:numPr>
          <w:ilvl w:val="0"/>
          <w:numId w:val="2"/>
        </w:numPr>
        <w:spacing w:after="60" w:line="264"/>
      </w:pPr>
      <w:r>
        <w:t xml:space="preserve">Contributions agree to bank deposits and to supporting records.</w:t>
      </w:r>
    </w:p>
    <w:p>
      <w:pPr>
        <w:pStyle w:val="ListParagraph"/>
        <w:numPr>
          <w:ilvl w:val="0"/>
          <w:numId w:val="2"/>
        </w:numPr>
        <w:spacing w:after="60" w:line="264"/>
      </w:pPr>
      <w:r>
        <w:t xml:space="preserve">Any in-specie contribution is a permitted asset and is recorded at market value at the date of transfer.</w:t>
      </w:r>
    </w:p>
    <w:p>
      <w:pPr>
        <w:pStyle w:val="Heading2"/>
      </w:pPr>
      <w:r>
        <w:t xml:space="preserve">4. Special contribution types</w:t>
      </w:r>
    </w:p>
    <w:p>
      <w:pPr>
        <w:pStyle w:val="ListParagraph"/>
        <w:numPr>
          <w:ilvl w:val="0"/>
          <w:numId w:val="2"/>
        </w:numPr>
        <w:spacing w:after="60" w:line="264"/>
      </w:pPr>
      <w:r>
        <w:t xml:space="preserve">Downsizer contributions: supported by a valid election and within the eligibility rules.</w:t>
      </w:r>
    </w:p>
    <w:p>
      <w:pPr>
        <w:pStyle w:val="ListParagraph"/>
        <w:numPr>
          <w:ilvl w:val="0"/>
          <w:numId w:val="2"/>
        </w:numPr>
        <w:spacing w:after="60" w:line="264"/>
      </w:pPr>
      <w:r>
        <w:t xml:space="preserve">Personal injury or structured settlement contributions: supported by the required documentation.</w:t>
      </w:r>
    </w:p>
    <w:p>
      <w:pPr>
        <w:pStyle w:val="ListParagraph"/>
        <w:numPr>
          <w:ilvl w:val="0"/>
          <w:numId w:val="2"/>
        </w:numPr>
        <w:spacing w:after="60" w:line="264"/>
      </w:pPr>
      <w:r>
        <w:t xml:space="preserve">Bring-forward arrangements: confirm the member was eligible to trigger the bring-forward.</w:t>
      </w:r>
    </w:p>
    <w:p>
      <w:pPr>
        <w:pStyle w:val="Heading2"/>
      </w:pPr>
      <w:r>
        <w:t xml:space="preserve">5. Excess contributions</w:t>
      </w:r>
    </w:p>
    <w:p>
      <w:pPr>
        <w:spacing w:after="120" w:line="264"/>
      </w:pPr>
      <w:r>
        <w:rPr>
          <w:b w:val="false"/>
          <w:bCs w:val="false"/>
          <w:i w:val="false"/>
          <w:iCs w:val="false"/>
        </w:rPr>
        <w:t xml:space="preserve">The auditor does not police the member's personal caps, but a contribution that appears to exceed a cap can indicate a recording error or an acceptance problem, and it should be noted for the trustees and, where relevant, raised so the member can address it. The acceptance standards remain the auditor's focus.</w:t>
      </w:r>
    </w:p>
    <w:p>
      <w:pPr>
        <w:pStyle w:val="Heading2"/>
      </w:pPr>
      <w:r>
        <w:t xml:space="preserve">Common pitfalls</w:t>
      </w:r>
    </w:p>
    <w:p>
      <w:pPr>
        <w:pStyle w:val="ListParagraph"/>
        <w:numPr>
          <w:ilvl w:val="0"/>
          <w:numId w:val="2"/>
        </w:numPr>
        <w:spacing w:after="60" w:line="264"/>
      </w:pPr>
      <w:r>
        <w:t xml:space="preserve">A contribution accepted contrary to the acceptance standards.</w:t>
      </w:r>
    </w:p>
    <w:p>
      <w:pPr>
        <w:pStyle w:val="ListParagraph"/>
        <w:numPr>
          <w:ilvl w:val="0"/>
          <w:numId w:val="2"/>
        </w:numPr>
        <w:spacing w:after="60" w:line="264"/>
      </w:pPr>
      <w:r>
        <w:t xml:space="preserve">Contributions misallocated between members or between categories.</w:t>
      </w:r>
    </w:p>
    <w:p>
      <w:pPr>
        <w:pStyle w:val="ListParagraph"/>
        <w:numPr>
          <w:ilvl w:val="0"/>
          <w:numId w:val="2"/>
        </w:numPr>
        <w:spacing w:after="60" w:line="264"/>
      </w:pPr>
      <w:r>
        <w:t xml:space="preserve">An in-specie contribution not recorded at market value at transfer.</w:t>
      </w:r>
    </w:p>
    <w:p>
      <w:pPr>
        <w:pStyle w:val="ListParagraph"/>
        <w:numPr>
          <w:ilvl w:val="0"/>
          <w:numId w:val="2"/>
        </w:numPr>
        <w:spacing w:after="60" w:line="264"/>
      </w:pPr>
      <w:r>
        <w:t xml:space="preserve">A bring-forward triggered when the member was not eligible.</w:t>
      </w:r>
    </w:p>
    <w:p>
      <w:pPr>
        <w:spacing w:after="80"/>
      </w:pPr>
      <w:r>
        <w:t xml:space="preserve"/>
      </w:r>
    </w:p>
    <w:p>
      <w:pPr>
        <w:spacing w:after="120" w:line="264"/>
      </w:pPr>
      <w:r>
        <w:rPr>
          <w:b w:val="false"/>
          <w:bCs w:val="false"/>
          <w:i/>
          <w:iCs/>
        </w:rPr>
        <w:t xml:space="preserve">In short, test whether each contribution was permitted to be accepted, that it is recorded in the right account and category and agrees to the bank, and that special contribution types are properly supported.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Contributions</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2026-06-29T13:37:45.407Z</dcterms:created>
  <dcterms:modified xsi:type="dcterms:W3CDTF">2026-06-29T13:37:45.407Z</dcterms:modified>
</cp:coreProperties>
</file>

<file path=docProps/custom.xml><?xml version="1.0" encoding="utf-8"?>
<Properties xmlns="http://schemas.openxmlformats.org/officeDocument/2006/custom-properties" xmlns:vt="http://schemas.openxmlformats.org/officeDocument/2006/docPropsVTypes"/>
</file>