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GUIDE 14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How to audit related party transactions and arm's length dealing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Acquisitions, loans, in-house assets and arm's-length terms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5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Who this guide is for</w:t>
            </w:r>
          </w:p>
          <w:p>
            <w:r>
              <w:rPr>
                <w:sz w:val="19"/>
                <w:szCs w:val="19"/>
              </w:rPr>
              <w:t xml:space="preserve">Approved SMSF auditors and audit staff auditing related party transactions and arm's-length dealing.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line="264"/>
      </w:pPr>
      <w:r>
        <w:rPr>
          <w:sz w:val="21"/>
          <w:szCs w:val="21"/>
        </w:rPr>
        <w:t xml:space="preserve">Related party dealings are where most SMSF compliance risk concentrates. Several distinct rules apply, and a single arrangement can engage more than one. This guide brings them together and explains how to test them.</w:t>
      </w:r>
    </w:p>
    <w:p>
      <w:pPr>
        <w:pStyle w:val="Heading2"/>
      </w:pPr>
      <w:r>
        <w:t xml:space="preserve">1. Identify related parties first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Everything starts with identifying the related parties: the members, their relatives, their associates, and entities they control. A transaction cannot be tested as a related party dealing if the relationship is not recognised. Build and keep a record of the related parties of the fund.</w:t>
      </w:r>
    </w:p>
    <w:p>
      <w:pPr>
        <w:pStyle w:val="Heading2"/>
      </w:pPr>
      <w:r>
        <w:t xml:space="preserve">2. The rules that apply to related party dealings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Rule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What it requires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Acquisition from a related party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Generally prohibited, with limited exceptions such as listed securities and business real property at market value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Loans and financial assistance to members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Prohibited entirely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In-house assets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Limited to 5% of fund assets, subject to exemptions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Arm's-length dealing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All transactions must be on commercial, arm's-length terms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Non-arm's-length income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Non-arm's-length dealings can tax the income at the top rate</w:t>
            </w:r>
          </w:p>
        </w:tc>
      </w:tr>
    </w:tbl>
    <w:p>
      <w:pPr>
        <w:pStyle w:val="Heading2"/>
      </w:pPr>
      <w:r>
        <w:t xml:space="preserve">3. The acquisition prohibition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A fund generally cannot acquire an asset from a related party. The main exceptions are listed securities acquired at market value, business real property acquired at market value, and certain in-house assets within the limit. A transfer of any other asset from a member to the fund, including personal crypto or residential property, is a prohibited acquisition and is reportable.</w:t>
      </w:r>
    </w:p>
    <w:p>
      <w:pPr>
        <w:pStyle w:val="Heading2"/>
      </w:pPr>
      <w:r>
        <w:t xml:space="preserve">4. No loans or financial assistance to members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A fund must not lend to, or provide financial assistance to, a member or a member's relative. This is absolute. Watch for disguised forms: an unpaid related party debt to the fund, rent owed and not collected, fund money used for a member's purpose, or an asset made available to a member. Each can be financial assistance.</w:t>
      </w:r>
    </w:p>
    <w:p>
      <w:pPr>
        <w:pStyle w:val="Heading2"/>
      </w:pPr>
      <w:r>
        <w:t xml:space="preserve">5. Arm's-length dealing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Every dealing of the fund must be on arm's-length terms, as if between strangers. Test rent, interest, purchase and sale prices, fees and expenses against market terms. A dealing that is not arm's length breaches the requirement and can also make the income non-arm's-length income, taxed at the top rate. The separate guide on non-arm's-length income and expenditure covers the tax consequences.</w:t>
      </w:r>
    </w:p>
    <w:p>
      <w:pPr>
        <w:pStyle w:val="Heading2"/>
      </w:pPr>
      <w:r>
        <w:t xml:space="preserve">6. Reporting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Related party breaches are common and frequently reportable. Work through the reporting tests for each contravention. Remember a contravention can be reportable even after it has been rectified.</w:t>
      </w:r>
    </w:p>
    <w:p>
      <w:pPr>
        <w:pStyle w:val="Heading2"/>
      </w:pPr>
      <w:r>
        <w:t xml:space="preserve">Common pitfalls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An asset transferred from a member to the fund outside the narrow exceptions.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Rent or a loan owed to the fund by a related party and left uncollected.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Below-market terms treated as acceptable because they are within the family.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Failing to keep a record of who the related parties are.</w:t>
      </w:r>
    </w:p>
    <w:p>
      <w:pPr>
        <w:spacing w:after="80"/>
      </w:pPr>
      <w:r>
        <w:t xml:space="preserve"/>
      </w:r>
    </w:p>
    <w:p>
      <w:pPr>
        <w:spacing w:after="120" w:line="264"/>
      </w:pPr>
      <w:r>
        <w:rPr>
          <w:b w:val="false"/>
          <w:bCs w:val="false"/>
          <w:i/>
          <w:iCs/>
        </w:rPr>
        <w:t xml:space="preserve">In short, know the related parties, then test each dealing against the acquisition prohibition, the ban on member loans and assistance, the in-house asset limit and the arm's-length requirement. Related party breaches are common and usually reportable.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guidance only. Not advice on a specific fund. The primary legislation and standards govern.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Related party dealing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2026-06-29T13:37:45.332Z</dcterms:created>
  <dcterms:modified xsi:type="dcterms:W3CDTF">2026-06-29T13:37:45.333Z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