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2E75B6"/>
          <w:sz w:val="18"/>
          <w:szCs w:val="18"/>
        </w:rPr>
        <w:t xml:space="preserve">GUIDE 13</w:t>
      </w:r>
    </w:p>
    <w:p>
      <w:pPr>
        <w:spacing w:after="40"/>
      </w:pPr>
      <w:r>
        <w:rPr>
          <w:b/>
          <w:bCs/>
          <w:color w:val="1F3A5F"/>
          <w:sz w:val="36"/>
          <w:szCs w:val="36"/>
        </w:rPr>
        <w:t xml:space="preserve">How to apply the sole purpose test</w:t>
      </w:r>
    </w:p>
    <w:p>
      <w:pPr>
        <w:spacing w:after="160"/>
      </w:pPr>
      <w:r>
        <w:rPr>
          <w:color w:val="595959"/>
          <w:sz w:val="22"/>
          <w:szCs w:val="22"/>
        </w:rPr>
        <w:t xml:space="preserve">Identifying present-day benefits and maintaining the fund for permitted purposes</w:t>
      </w:r>
    </w:p>
    <w:p>
      <w:pPr>
        <w:pBdr>
          <w:bottom w:val="single" w:color="2E75B6" w:sz="6" w:space="1"/>
        </w:pBdr>
        <w:spacing w:after="120" w:before="40"/>
      </w:pPr>
      <w:r>
        <w:t xml:space="preserve"/>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18"/>
              <w:bottom w:val="single" w:color="2E75B6" w:sz="4"/>
              <w:right w:val="single" w:color="2E75B6" w:sz="4"/>
            </w:tcBorders>
            <w:shd w:fill="EAF1F8" w:val="clear"/>
            <w:tcMar>
              <w:top w:type="dxa" w:w="120"/>
              <w:left w:type="dxa" w:w="180"/>
              <w:bottom w:type="dxa" w:w="120"/>
              <w:right w:type="dxa" w:w="160"/>
            </w:tcMar>
          </w:tcPr>
          <w:p>
            <w:pPr>
              <w:spacing w:after="50"/>
            </w:pPr>
            <w:r>
              <w:rPr>
                <w:b/>
                <w:bCs/>
                <w:color w:val="1F3A5F"/>
                <w:sz w:val="20"/>
                <w:szCs w:val="20"/>
              </w:rPr>
              <w:t xml:space="preserve">Who this guide is for</w:t>
            </w:r>
          </w:p>
          <w:p>
            <w:r>
              <w:rPr>
                <w:sz w:val="19"/>
                <w:szCs w:val="19"/>
              </w:rPr>
              <w:t xml:space="preserve">Approved SMSF auditors and audit staff applying the sole purpose test.</w:t>
            </w:r>
          </w:p>
        </w:tc>
      </w:tr>
    </w:tbl>
    <w:p>
      <w:pPr>
        <w:spacing w:after="80"/>
      </w:pPr>
      <w:r>
        <w:t xml:space="preserve"/>
      </w:r>
    </w:p>
    <w:p>
      <w:pPr>
        <w:spacing w:after="120" w:line="264"/>
      </w:pPr>
      <w:r>
        <w:rPr>
          <w:sz w:val="21"/>
          <w:szCs w:val="21"/>
        </w:rPr>
        <w:t xml:space="preserve">The sole purpose test is the foundation of the compliance audit. A fund must be maintained solely to provide retirement and death benefits, and nothing else. A present-day benefit to a member or related party fails the test, and a failure is serious. This guide explains how to apply the test in practice.</w:t>
      </w:r>
    </w:p>
    <w:p>
      <w:pPr>
        <w:pStyle w:val="Heading2"/>
      </w:pPr>
      <w:r>
        <w:t xml:space="preserve">1. Core and ancillary purposes</w:t>
      </w:r>
    </w:p>
    <w:p>
      <w:pPr>
        <w:spacing w:after="120" w:line="264"/>
      </w:pPr>
      <w:r>
        <w:rPr>
          <w:b w:val="false"/>
          <w:bCs w:val="false"/>
          <w:i w:val="false"/>
          <w:iCs w:val="false"/>
        </w:rPr>
        <w:t xml:space="preserve">The test permits one or more core purposes, principally providing benefits on retirement or reaching a prescribed age, and certain ancillary purposes such as death benefits. The fund must be maintained solely for those purposes. If it is maintained for any other purpose, even partly, the test is failed.</w:t>
      </w:r>
    </w:p>
    <w:p>
      <w:pPr>
        <w:pStyle w:val="Heading2"/>
      </w:pPr>
      <w:r>
        <w:t xml:space="preserve">2. The present-day benefit problem</w:t>
      </w:r>
    </w:p>
    <w:p>
      <w:pPr>
        <w:spacing w:after="120" w:line="264"/>
      </w:pPr>
      <w:r>
        <w:rPr>
          <w:b w:val="false"/>
          <w:bCs w:val="false"/>
          <w:i w:val="false"/>
          <w:iCs w:val="false"/>
        </w:rPr>
        <w:t xml:space="preserve">The most common way a fund fails the test is by providing a present-day benefit, meaning a benefit to a member or related party now, rather than in retirement. The benefit need not be financial in a narrow sense. Personal use or enjoyment of a fund asset is a present-day benefit.</w:t>
      </w:r>
    </w:p>
    <w:p>
      <w:pPr>
        <w:pStyle w:val="ListParagraph"/>
        <w:numPr>
          <w:ilvl w:val="0"/>
          <w:numId w:val="2"/>
        </w:numPr>
        <w:spacing w:after="60" w:line="264"/>
      </w:pPr>
      <w:r>
        <w:t xml:space="preserve">A member or relative using a fund property, holiday home, artwork or collectable.</w:t>
      </w:r>
    </w:p>
    <w:p>
      <w:pPr>
        <w:pStyle w:val="ListParagraph"/>
        <w:numPr>
          <w:ilvl w:val="0"/>
          <w:numId w:val="2"/>
        </w:numPr>
        <w:spacing w:after="60" w:line="264"/>
      </w:pPr>
      <w:r>
        <w:t xml:space="preserve">A fund investment chosen to benefit a member's business or lifestyle rather than for its return.</w:t>
      </w:r>
    </w:p>
    <w:p>
      <w:pPr>
        <w:pStyle w:val="ListParagraph"/>
        <w:numPr>
          <w:ilvl w:val="0"/>
          <w:numId w:val="2"/>
        </w:numPr>
        <w:spacing w:after="60" w:line="264"/>
      </w:pPr>
      <w:r>
        <w:t xml:space="preserve">Fund assets intermingled with personal assets so the member enjoys them.</w:t>
      </w:r>
    </w:p>
    <w:p>
      <w:pPr>
        <w:pStyle w:val="ListParagraph"/>
        <w:numPr>
          <w:ilvl w:val="0"/>
          <w:numId w:val="2"/>
        </w:numPr>
        <w:spacing w:after="60" w:line="264"/>
      </w:pPr>
      <w:r>
        <w:t xml:space="preserve">A transaction structured to give a member a current advantage.</w:t>
      </w:r>
    </w:p>
    <w:p>
      <w:pPr>
        <w:pStyle w:val="Heading2"/>
      </w:pPr>
      <w:r>
        <w:t xml:space="preserve">3. How to apply it</w:t>
      </w:r>
    </w:p>
    <w:p>
      <w:pPr>
        <w:spacing w:after="120" w:line="264"/>
      </w:pPr>
      <w:r>
        <w:rPr>
          <w:b w:val="false"/>
          <w:bCs w:val="false"/>
          <w:i w:val="false"/>
          <w:iCs w:val="false"/>
        </w:rPr>
        <w:t xml:space="preserve">The sole purpose test is applied to the fund as a whole and to specific arrangements. Look hardest at the areas where a present-day benefit can hide: related party leases, in-house assets, collectables, property, and any unusual or one-off transaction. For each, ask whether a member or related party is getting something now.</w:t>
      </w:r>
    </w:p>
    <w:p>
      <w:pPr>
        <w:pStyle w:val="Heading2"/>
      </w:pPr>
      <w:r>
        <w:t xml:space="preserve">4. Interaction with other rules</w:t>
      </w:r>
    </w:p>
    <w:p>
      <w:pPr>
        <w:spacing w:after="120" w:line="264"/>
      </w:pPr>
      <w:r>
        <w:rPr>
          <w:b w:val="false"/>
          <w:bCs w:val="false"/>
          <w:i w:val="false"/>
          <w:iCs w:val="false"/>
        </w:rPr>
        <w:t xml:space="preserve">A sole purpose problem rarely travels alone. The same facts often breach the in-house asset rules, the prohibition on financial assistance to members, or the arm's-length requirement. Where you find a present-day benefit, test those provisions too, and consider the effect on the financial audit where the value or income is affected.</w:t>
      </w:r>
    </w:p>
    <w:p>
      <w:pPr>
        <w:pStyle w:val="Heading2"/>
      </w:pPr>
      <w:r>
        <w:t xml:space="preserve">5. Reporting</w:t>
      </w:r>
    </w:p>
    <w:p>
      <w:pPr>
        <w:spacing w:after="120" w:line="264"/>
      </w:pPr>
      <w:r>
        <w:rPr>
          <w:b w:val="false"/>
          <w:bCs w:val="false"/>
          <w:i w:val="false"/>
          <w:iCs w:val="false"/>
        </w:rPr>
        <w:t xml:space="preserve">A sole purpose test failure is significant and is generally reportable. Work through the contravention reporting tests and report where the criteria are met. A sustained or serious failure can also affect the fund's complying status, with major tax consequences, so it is not a matter to treat lightly.</w:t>
      </w:r>
    </w:p>
    <w:p>
      <w:pPr>
        <w:pStyle w:val="Heading2"/>
      </w:pPr>
      <w:r>
        <w:t xml:space="preserve">Common pitfalls</w:t>
      </w:r>
    </w:p>
    <w:p>
      <w:pPr>
        <w:pStyle w:val="ListParagraph"/>
        <w:numPr>
          <w:ilvl w:val="0"/>
          <w:numId w:val="2"/>
        </w:numPr>
        <w:spacing w:after="60" w:line="264"/>
      </w:pPr>
      <w:r>
        <w:t xml:space="preserve">Overlooking personal use of a fund asset as a present-day benefit.</w:t>
      </w:r>
    </w:p>
    <w:p>
      <w:pPr>
        <w:pStyle w:val="ListParagraph"/>
        <w:numPr>
          <w:ilvl w:val="0"/>
          <w:numId w:val="2"/>
        </w:numPr>
        <w:spacing w:after="60" w:line="264"/>
      </w:pPr>
      <w:r>
        <w:t xml:space="preserve">Treating the test as a formality rather than testing the arrangements that can breach it.</w:t>
      </w:r>
    </w:p>
    <w:p>
      <w:pPr>
        <w:pStyle w:val="ListParagraph"/>
        <w:numPr>
          <w:ilvl w:val="0"/>
          <w:numId w:val="2"/>
        </w:numPr>
        <w:spacing w:after="60" w:line="264"/>
      </w:pPr>
      <w:r>
        <w:t xml:space="preserve">Missing the related breaches that usually accompany a sole purpose failure.</w:t>
      </w:r>
    </w:p>
    <w:p>
      <w:pPr>
        <w:spacing w:after="80"/>
      </w:pPr>
      <w:r>
        <w:t xml:space="preserve"/>
      </w:r>
    </w:p>
    <w:p>
      <w:pPr>
        <w:spacing w:after="120" w:line="264"/>
      </w:pPr>
      <w:r>
        <w:rPr>
          <w:b w:val="false"/>
          <w:bCs w:val="false"/>
          <w:i/>
          <w:iCs/>
        </w:rPr>
        <w:t xml:space="preserve">In short, the fund must exist only to provide retirement and death benefits. Hunt for present-day benefits in the high-risk arrangements, test the related provisions, and report a failure, because it goes to the heart of the fund's compliance.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after="40" w:before="0"/>
    </w:pPr>
    <w:r>
      <w:t xml:space="preserve"/>
    </w:r>
  </w:p>
  <w:p>
    <w:pPr>
      <w:tabs>
        <w:tab w:val="right" w:pos="9360"/>
      </w:tabs>
    </w:pPr>
    <w:r>
      <w:rPr>
        <w:color w:val="595959"/>
        <w:sz w:val="15"/>
        <w:szCs w:val="15"/>
      </w:rPr>
      <w:t xml:space="preserve">General guidance only. Not advice on a specific fund. The primary legislation and standards govern.</w:t>
    </w:r>
    <w:r>
      <w:rPr>
        <w:color w:val="595959"/>
        <w:sz w:val="15"/>
        <w:szCs w:val="15"/>
      </w:rPr>
      <w:t xml:space="preserve">	Page </w:t>
    </w:r>
    <w:r>
      <w:rPr>
        <w:color w:val="595959"/>
        <w:sz w:val="15"/>
        <w:szCs w:val="15"/>
      </w:rPr>
      <w:fldChar w:fldCharType="begin"/>
      <w:instrText xml:space="preserve">PAGE</w:instrText>
      <w:fldChar w:fldCharType="separate"/>
      <w:fldChar w:fldCharType="end"/>
    </w:r>
    <w:r>
      <w:rPr>
        <w:color w:val="595959"/>
        <w:sz w:val="15"/>
        <w:szCs w:val="15"/>
      </w:rPr>
      <w:t xml:space="preserve"> of </w:t>
    </w:r>
    <w:r>
      <w:rPr>
        <w:color w:val="595959"/>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360"/>
      </w:tabs>
      <w:spacing w:after="40"/>
    </w:pPr>
    <w:r>
      <w:rPr>
        <w:b/>
        <w:bCs/>
        <w:color w:val="1F3A5F"/>
        <w:sz w:val="16"/>
        <w:szCs w:val="16"/>
      </w:rPr>
      <w:t xml:space="preserve">SMSF Audit Resource Library</w:t>
    </w:r>
    <w:r>
      <w:rPr>
        <w:color w:val="595959"/>
        <w:sz w:val="16"/>
        <w:szCs w:val="16"/>
      </w:rPr>
      <w:t xml:space="preserve">	Sole purpose test</w:t>
    </w:r>
  </w:p>
  <w:p>
    <w:pPr>
      <w:pBdr>
        <w:bottom w:val="single" w:color="2E75B6" w:sz="4" w:space="1"/>
      </w:pBdr>
      <w:spacing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decimal"/>
      <w:lvlText w:val="%1."/>
      <w:lvlJc w:val="left"/>
      <w:pPr>
        <w:ind w:left="540" w:hanging="270"/>
      </w:pPr>
    </w:lvl>
  </w:abstractNum>
  <w:abstractNum w:abstractNumId="4" w15:restartNumberingAfterBreak="0">
    <w:multiLevelType w:val="hybridMultilevel"/>
    <w:lvl w:ilvl="0" w15:tentative="1">
      <w:start w:val="1"/>
      <w:numFmt w:val="lowerLetter"/>
      <w:lvlText w:val="(%1)"/>
      <w:lvlJc w:val="left"/>
      <w:pPr>
        <w:ind w:left="600" w:hanging="33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3A5F"/>
      <w:sz w:val="30"/>
      <w:szCs w:val="30"/>
    </w:rPr>
  </w:style>
  <w:style w:type="paragraph" w:styleId="Heading2">
    <w:name w:val="Heading 2"/>
    <w:basedOn w:val="Normal"/>
    <w:next w:val="Normal"/>
    <w:qFormat/>
    <w:pPr>
      <w:spacing w:after="100" w:before="220"/>
      <w:outlineLvl w:val="1"/>
    </w:pPr>
    <w:rPr>
      <w:rFonts w:ascii="Arial" w:cs="Arial" w:eastAsia="Arial" w:hAnsi="Arial"/>
      <w:b/>
      <w:bCs/>
      <w:color w:val="2E75B6"/>
      <w:sz w:val="24"/>
      <w:szCs w:val="24"/>
    </w:rPr>
  </w:style>
  <w:style w:type="paragraph" w:styleId="Heading3">
    <w:name w:val="Heading 3"/>
    <w:basedOn w:val="Normal"/>
    <w:next w:val="Normal"/>
    <w:qFormat/>
    <w:pPr>
      <w:spacing w:after="80" w:before="160"/>
      <w:outlineLvl w:val="2"/>
    </w:pPr>
    <w:rPr>
      <w:rFonts w:ascii="Arial" w:cs="Arial" w:eastAsia="Arial" w:hAnsi="Arial"/>
      <w:b/>
      <w:bCs/>
      <w:color w:val="1F3A5F"/>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2026-06-29T13:37:45.284Z</dcterms:created>
  <dcterms:modified xsi:type="dcterms:W3CDTF">2026-06-29T13:37:45.284Z</dcterms:modified>
</cp:coreProperties>
</file>

<file path=docProps/custom.xml><?xml version="1.0" encoding="utf-8"?>
<Properties xmlns="http://schemas.openxmlformats.org/officeDocument/2006/custom-properties" xmlns:vt="http://schemas.openxmlformats.org/officeDocument/2006/docPropsVTypes"/>
</file>