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10</w:t>
      </w:r>
    </w:p>
    <w:p>
      <w:pPr>
        <w:spacing w:after="40"/>
      </w:pPr>
      <w:r>
        <w:rPr>
          <w:b/>
          <w:bCs/>
          <w:color w:val="1F3A5F"/>
          <w:sz w:val="36"/>
          <w:szCs w:val="36"/>
        </w:rPr>
        <w:t xml:space="preserve">How to audit collectables and personal use assets</w:t>
      </w:r>
    </w:p>
    <w:p>
      <w:pPr>
        <w:spacing w:after="160"/>
      </w:pPr>
      <w:r>
        <w:rPr>
          <w:color w:val="595959"/>
          <w:sz w:val="22"/>
          <w:szCs w:val="22"/>
        </w:rPr>
        <w:t xml:space="preserve">Storage, use, insurance and sale rules (r13.18AA)</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Approved SMSF auditors and audit staff auditing collectables and personal use assets such as art, jewellery, vehicles, wine and memorabilia.</w:t>
            </w:r>
          </w:p>
        </w:tc>
      </w:tr>
    </w:tbl>
    <w:p>
      <w:pPr>
        <w:spacing w:after="80"/>
      </w:pPr>
      <w:r>
        <w:t xml:space="preserve"/>
      </w:r>
    </w:p>
    <w:p>
      <w:pPr>
        <w:spacing w:after="120" w:line="264"/>
      </w:pPr>
      <w:r>
        <w:rPr>
          <w:sz w:val="21"/>
          <w:szCs w:val="21"/>
        </w:rPr>
        <w:t xml:space="preserve">Collectables and personal use assets are subject to specific rules on storage, use, insurance and sale. The rules exist because these assets are easy to enjoy personally, which would breach the sole purpose test. A breach is often reportable, so this guide sets out exactly what to test.</w:t>
      </w:r>
    </w:p>
    <w:p>
      <w:pPr>
        <w:pStyle w:val="Heading2"/>
      </w:pPr>
      <w:r>
        <w:t xml:space="preserve">1. What counts</w:t>
      </w:r>
    </w:p>
    <w:p>
      <w:pPr>
        <w:spacing w:after="120" w:line="264"/>
      </w:pPr>
      <w:r>
        <w:rPr>
          <w:b w:val="false"/>
          <w:bCs w:val="false"/>
          <w:i w:val="false"/>
          <w:iCs w:val="false"/>
        </w:rPr>
        <w:t xml:space="preserve">Collectables and personal use assets include artwork, jewellery, antiques, artefacts, coins, medallions, stamps, books, manuscripts, wine and spirits, motor vehicles, recreational boats, and memorabilia. Note that loose form precious metals such as unset diamonds are not collectables for this purpose, so check the specific item.</w:t>
      </w:r>
    </w:p>
    <w:p>
      <w:pPr>
        <w:pStyle w:val="Heading2"/>
      </w:pPr>
      <w:r>
        <w:t xml:space="preserve">2. The specific rules</w:t>
      </w:r>
    </w:p>
    <w:p>
      <w:pPr>
        <w:pStyle w:val="ListParagraph"/>
        <w:numPr>
          <w:ilvl w:val="0"/>
          <w:numId w:val="2"/>
        </w:numPr>
        <w:spacing w:after="60" w:line="264"/>
      </w:pPr>
      <w:r>
        <w:t xml:space="preserve">No use or lease to a related party: the asset must not be leased to, or used by, a related party. A painting on the wall of a member's home fails this test.</w:t>
      </w:r>
    </w:p>
    <w:p>
      <w:pPr>
        <w:pStyle w:val="ListParagraph"/>
        <w:numPr>
          <w:ilvl w:val="0"/>
          <w:numId w:val="2"/>
        </w:numPr>
        <w:spacing w:after="60" w:line="264"/>
      </w:pPr>
      <w:r>
        <w:t xml:space="preserve">No storage in a related party's private residence: the asset must not be stored or displayed in the private residence of any related party.</w:t>
      </w:r>
    </w:p>
    <w:p>
      <w:pPr>
        <w:pStyle w:val="ListParagraph"/>
        <w:numPr>
          <w:ilvl w:val="0"/>
          <w:numId w:val="2"/>
        </w:numPr>
        <w:spacing w:after="60" w:line="264"/>
      </w:pPr>
      <w:r>
        <w:t xml:space="preserve">Written storage decision: the trustees must keep a written record of the decision on where the asset is stored, and retain it.</w:t>
      </w:r>
    </w:p>
    <w:p>
      <w:pPr>
        <w:pStyle w:val="ListParagraph"/>
        <w:numPr>
          <w:ilvl w:val="0"/>
          <w:numId w:val="2"/>
        </w:numPr>
        <w:spacing w:after="60" w:line="264"/>
      </w:pPr>
      <w:r>
        <w:t xml:space="preserve">Insurance: the asset must be insured in the name of the fund within seven days of acquisition. A common breach is no insurance, or insurance in a member's name.</w:t>
      </w:r>
    </w:p>
    <w:p>
      <w:pPr>
        <w:pStyle w:val="ListParagraph"/>
        <w:numPr>
          <w:ilvl w:val="0"/>
          <w:numId w:val="2"/>
        </w:numPr>
        <w:spacing w:after="60" w:line="264"/>
      </w:pPr>
      <w:r>
        <w:t xml:space="preserve">Market value sale to a related party: any sale to a related party must be at market value determined by a qualified independent valuer.</w:t>
      </w:r>
    </w:p>
    <w:p>
      <w:pPr>
        <w:pStyle w:val="Heading2"/>
      </w:pPr>
      <w:r>
        <w:t xml:space="preserve">3. Existence and value</w:t>
      </w:r>
    </w:p>
    <w:p>
      <w:pPr>
        <w:spacing w:after="120" w:line="264"/>
      </w:pPr>
      <w:r>
        <w:rPr>
          <w:b w:val="false"/>
          <w:bCs w:val="false"/>
          <w:i w:val="false"/>
          <w:iCs w:val="false"/>
        </w:rPr>
        <w:t xml:space="preserve">Confirm the asset exists by inspection, photographs or independent confirmation. For material items obtain an independent valuation to support market value at 30 June. Condition affects value, so evidence of condition supports the valuation.</w:t>
      </w:r>
    </w:p>
    <w:p>
      <w:pPr>
        <w:pStyle w:val="Heading2"/>
      </w:pPr>
      <w:r>
        <w:t xml:space="preserve">4. Reporting a breach</w:t>
      </w:r>
    </w:p>
    <w:p>
      <w:pPr>
        <w:spacing w:after="120" w:line="264"/>
      </w:pPr>
      <w:r>
        <w:rPr>
          <w:b w:val="false"/>
          <w:bCs w:val="false"/>
          <w:i w:val="false"/>
          <w:iCs w:val="false"/>
        </w:rPr>
        <w:t xml:space="preserve">The storage, use and insurance rules are frequently breached, and a breach is commonly reportable. Where you identify a breach, work through the contravention reporting tests and lodge a report where the criteria are met. Note that several of these breaches cannot be rectified after the fact, for example a failure to insure within seven days of acquisition.</w:t>
      </w:r>
    </w:p>
    <w:p>
      <w:pPr>
        <w:pStyle w:val="Heading2"/>
      </w:pPr>
      <w:r>
        <w:t xml:space="preserve">Common pitfalls</w:t>
      </w:r>
    </w:p>
    <w:p>
      <w:pPr>
        <w:pStyle w:val="ListParagraph"/>
        <w:numPr>
          <w:ilvl w:val="0"/>
          <w:numId w:val="2"/>
        </w:numPr>
        <w:spacing w:after="60" w:line="264"/>
      </w:pPr>
      <w:r>
        <w:t xml:space="preserve">An artwork displayed in a member's home or office.</w:t>
      </w:r>
    </w:p>
    <w:p>
      <w:pPr>
        <w:pStyle w:val="ListParagraph"/>
        <w:numPr>
          <w:ilvl w:val="0"/>
          <w:numId w:val="2"/>
        </w:numPr>
        <w:spacing w:after="60" w:line="264"/>
      </w:pPr>
      <w:r>
        <w:t xml:space="preserve">No insurance, or insurance in a personal name rather than the fund's.</w:t>
      </w:r>
    </w:p>
    <w:p>
      <w:pPr>
        <w:pStyle w:val="ListParagraph"/>
        <w:numPr>
          <w:ilvl w:val="0"/>
          <w:numId w:val="2"/>
        </w:numPr>
        <w:spacing w:after="60" w:line="264"/>
      </w:pPr>
      <w:r>
        <w:t xml:space="preserve">No written record of the storage decision.</w:t>
      </w:r>
    </w:p>
    <w:p>
      <w:pPr>
        <w:pStyle w:val="ListParagraph"/>
        <w:numPr>
          <w:ilvl w:val="0"/>
          <w:numId w:val="2"/>
        </w:numPr>
        <w:spacing w:after="60" w:line="264"/>
      </w:pPr>
      <w:r>
        <w:t xml:space="preserve">A sale to a related party without an independent valuation.</w:t>
      </w:r>
    </w:p>
    <w:p>
      <w:pPr>
        <w:spacing w:after="80"/>
      </w:pPr>
      <w:r>
        <w:t xml:space="preserve"/>
      </w:r>
    </w:p>
    <w:p>
      <w:pPr>
        <w:spacing w:after="120" w:line="264"/>
      </w:pPr>
      <w:r>
        <w:rPr>
          <w:b w:val="false"/>
          <w:bCs w:val="false"/>
          <w:i/>
          <w:iCs/>
        </w:rPr>
        <w:t xml:space="preserve">In short, these assets must be kept and insured for the fund, never used or stored by a related party, and sold to a related party only at an independently valued price. Test each rule, because a breach is usually reportable and often cannot be undone.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Collectables</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2026-06-29T13:33:30.382Z</dcterms:created>
  <dcterms:modified xsi:type="dcterms:W3CDTF">2026-06-29T13:33:30.382Z</dcterms:modified>
</cp:coreProperties>
</file>

<file path=docProps/custom.xml><?xml version="1.0" encoding="utf-8"?>
<Properties xmlns="http://schemas.openxmlformats.org/officeDocument/2006/custom-properties" xmlns:vt="http://schemas.openxmlformats.org/officeDocument/2006/docPropsVTypes"/>
</file>