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GUIDE 09</w:t>
      </w:r>
    </w:p>
    <w:p>
      <w:pPr>
        <w:spacing w:after="40"/>
      </w:pPr>
      <w:r>
        <w:rPr>
          <w:b/>
          <w:bCs/>
          <w:color w:val="1F3A5F"/>
          <w:sz w:val="36"/>
          <w:szCs w:val="36"/>
        </w:rPr>
        <w:t xml:space="preserve">How to audit cryptocurrency holdings</w:t>
      </w:r>
    </w:p>
    <w:p>
      <w:pPr>
        <w:spacing w:after="160"/>
      </w:pPr>
      <w:r>
        <w:rPr>
          <w:color w:val="595959"/>
          <w:sz w:val="22"/>
          <w:szCs w:val="22"/>
        </w:rPr>
        <w:t xml:space="preserve">Ownership, separation, existence and valuation of digital assets</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50"/>
            </w:pPr>
            <w:r>
              <w:rPr>
                <w:b/>
                <w:bCs/>
                <w:color w:val="1F3A5F"/>
                <w:sz w:val="20"/>
                <w:szCs w:val="20"/>
              </w:rPr>
              <w:t xml:space="preserve">Who this guide is for</w:t>
            </w:r>
          </w:p>
          <w:p>
            <w:r>
              <w:rPr>
                <w:sz w:val="19"/>
                <w:szCs w:val="19"/>
              </w:rPr>
              <w:t xml:space="preserve">Approved SMSF auditors and audit staff auditing cryptocurrency and other digital assets held by a fund.</w:t>
            </w:r>
          </w:p>
        </w:tc>
      </w:tr>
    </w:tbl>
    <w:p>
      <w:pPr>
        <w:spacing w:after="80"/>
      </w:pPr>
      <w:r>
        <w:t xml:space="preserve"/>
      </w:r>
    </w:p>
    <w:p>
      <w:pPr>
        <w:spacing w:after="120" w:line="264"/>
      </w:pPr>
      <w:r>
        <w:rPr>
          <w:sz w:val="21"/>
          <w:szCs w:val="21"/>
        </w:rPr>
        <w:t xml:space="preserve">Crypto holdings in funds have grown sharply, and they raise distinct audit issues around ownership, separation of assets, existence and valuation. The regulator has issued auditor specific guidance, and this guide reflects its current expectations.</w:t>
      </w:r>
    </w:p>
    <w:p>
      <w:pPr>
        <w:pStyle w:val="Heading2"/>
      </w:pPr>
      <w:r>
        <w:t xml:space="preserve">1. Permitted and consistent with the strategy</w:t>
      </w:r>
    </w:p>
    <w:p>
      <w:pPr>
        <w:pStyle w:val="ListParagraph"/>
        <w:numPr>
          <w:ilvl w:val="0"/>
          <w:numId w:val="2"/>
        </w:numPr>
        <w:spacing w:after="60" w:line="264"/>
      </w:pPr>
      <w:r>
        <w:t xml:space="preserve">Confirm the trust deed permits the investment.</w:t>
      </w:r>
    </w:p>
    <w:p>
      <w:pPr>
        <w:pStyle w:val="ListParagraph"/>
        <w:numPr>
          <w:ilvl w:val="0"/>
          <w:numId w:val="2"/>
        </w:numPr>
        <w:spacing w:after="60" w:line="264"/>
      </w:pPr>
      <w:r>
        <w:t xml:space="preserve">Confirm the investment is consistent with the fund's investment strategy, including the trustees' consideration of the risk of a concentrated or volatile holding.</w:t>
      </w:r>
    </w:p>
    <w:p>
      <w:pPr>
        <w:pStyle w:val="Heading2"/>
      </w:pPr>
      <w:r>
        <w:t xml:space="preserve">2. Owned by the fund and separated from personal holdings</w:t>
      </w:r>
    </w:p>
    <w:p>
      <w:pPr>
        <w:spacing w:after="120" w:line="264"/>
      </w:pPr>
      <w:r>
        <w:rPr>
          <w:b w:val="false"/>
          <w:bCs w:val="false"/>
          <w:i w:val="false"/>
          <w:iCs w:val="false"/>
        </w:rPr>
        <w:t xml:space="preserve">This is the central issue. The asset must be held in a wallet or account in the name of the fund, separate from any crypto personally held by a trustee or member. An account in the personal name of a member does not satisfy the separation of assets requirement. The correct holding is in the name of the trustee as trustee for the fund.</w:t>
      </w:r>
    </w:p>
    <w:p>
      <w:pPr>
        <w:pStyle w:val="ListParagraph"/>
        <w:numPr>
          <w:ilvl w:val="0"/>
          <w:numId w:val="2"/>
        </w:numPr>
        <w:spacing w:after="60" w:line="264"/>
      </w:pPr>
      <w:r>
        <w:t xml:space="preserve">Confirm the wallet or exchange account is in the name of the fund.</w:t>
      </w:r>
    </w:p>
    <w:p>
      <w:pPr>
        <w:pStyle w:val="ListParagraph"/>
        <w:numPr>
          <w:ilvl w:val="0"/>
          <w:numId w:val="2"/>
        </w:numPr>
        <w:spacing w:after="60" w:line="264"/>
      </w:pPr>
      <w:r>
        <w:t xml:space="preserve">Confirm it is not commingled with personal holdings.</w:t>
      </w:r>
    </w:p>
    <w:p>
      <w:pPr>
        <w:pStyle w:val="ListParagraph"/>
        <w:numPr>
          <w:ilvl w:val="0"/>
          <w:numId w:val="2"/>
        </w:numPr>
        <w:spacing w:after="60" w:line="264"/>
      </w:pPr>
      <w:r>
        <w:t xml:space="preserve">Confirm no crypto was acquired from, or transferred in from, a related party. Crypto is not a listed security, so the related party acquisition exemption does not apply, and a transfer of personal crypto into the fund is a prohibited acquisition.</w:t>
      </w:r>
    </w:p>
    <w:p>
      <w:pPr>
        <w:pStyle w:val="Heading2"/>
      </w:pPr>
      <w:r>
        <w:t xml:space="preserve">3. Existence</w:t>
      </w:r>
    </w:p>
    <w:p>
      <w:pPr>
        <w:spacing w:after="120" w:line="264"/>
      </w:pPr>
      <w:r>
        <w:rPr>
          <w:b w:val="false"/>
          <w:bCs w:val="false"/>
          <w:i w:val="false"/>
          <w:iCs w:val="false"/>
        </w:rPr>
        <w:t xml:space="preserve">Confirm the holding exists at 30 June by independent evidence. Where the crypto is held through a custodian or exchange, seek a controls report and perform substantive testing to confirm the holding statement is correct. Obtain a complete transaction history and reconcile it to the records.</w:t>
      </w:r>
    </w:p>
    <w:p>
      <w:pPr>
        <w:pStyle w:val="Heading2"/>
      </w:pPr>
      <w:r>
        <w:t xml:space="preserve">4. Market value</w:t>
      </w:r>
    </w:p>
    <w:p>
      <w:pPr>
        <w:spacing w:after="120" w:line="264"/>
      </w:pPr>
      <w:r>
        <w:rPr>
          <w:b w:val="false"/>
          <w:bCs w:val="false"/>
          <w:i w:val="false"/>
          <w:iCs w:val="false"/>
        </w:rPr>
        <w:t xml:space="preserve">A holding statement or investment summary alone is not sufficient evidence of market value. Obtain additional objective, supportable evidence, for example the 30 June closing value published on the website of an exchange that provides historical data. Apply a consistent and reliable source.</w:t>
      </w:r>
    </w:p>
    <w:p>
      <w:pPr>
        <w:pStyle w:val="Heading2"/>
      </w:pPr>
      <w:r>
        <w:t xml:space="preserve">5. If you cannot verify</w:t>
      </w:r>
    </w:p>
    <w:p>
      <w:pPr>
        <w:spacing w:after="120" w:line="264"/>
      </w:pPr>
      <w:r>
        <w:rPr>
          <w:b w:val="false"/>
          <w:bCs w:val="false"/>
          <w:i w:val="false"/>
          <w:iCs w:val="false"/>
        </w:rPr>
        <w:t xml:space="preserve">Where you cannot verify existence, ownership or market value, and the amount is material, qualify both the financial audit and the compliance audit. Where the reporting criteria are met, lodge a contravention report, typically for a breach of the market value requirement or the separation of assets requirement.</w:t>
      </w:r>
    </w:p>
    <w:p>
      <w:pPr>
        <w:pStyle w:val="Heading2"/>
      </w:pPr>
      <w:r>
        <w:t xml:space="preserve">Common pitfalls</w:t>
      </w:r>
    </w:p>
    <w:p>
      <w:pPr>
        <w:pStyle w:val="ListParagraph"/>
        <w:numPr>
          <w:ilvl w:val="0"/>
          <w:numId w:val="2"/>
        </w:numPr>
        <w:spacing w:after="60" w:line="264"/>
      </w:pPr>
      <w:r>
        <w:t xml:space="preserve">An exchange account in the personal name of a member.</w:t>
      </w:r>
    </w:p>
    <w:p>
      <w:pPr>
        <w:pStyle w:val="ListParagraph"/>
        <w:numPr>
          <w:ilvl w:val="0"/>
          <w:numId w:val="2"/>
        </w:numPr>
        <w:spacing w:after="60" w:line="264"/>
      </w:pPr>
      <w:r>
        <w:t xml:space="preserve">Personal crypto transferred into the fund, which is a prohibited acquisition.</w:t>
      </w:r>
    </w:p>
    <w:p>
      <w:pPr>
        <w:pStyle w:val="ListParagraph"/>
        <w:numPr>
          <w:ilvl w:val="0"/>
          <w:numId w:val="2"/>
        </w:numPr>
        <w:spacing w:after="60" w:line="264"/>
      </w:pPr>
      <w:r>
        <w:t xml:space="preserve">A holding statement accepted as proof of value.</w:t>
      </w:r>
    </w:p>
    <w:p>
      <w:pPr>
        <w:pStyle w:val="ListParagraph"/>
        <w:numPr>
          <w:ilvl w:val="0"/>
          <w:numId w:val="2"/>
        </w:numPr>
        <w:spacing w:after="60" w:line="264"/>
      </w:pPr>
      <w:r>
        <w:t xml:space="preserve">An incomplete transaction history that cannot be reconciled.</w:t>
      </w:r>
    </w:p>
    <w:p>
      <w:pPr>
        <w:spacing w:after="80"/>
      </w:pPr>
      <w:r>
        <w:t xml:space="preserve"/>
      </w:r>
    </w:p>
    <w:p>
      <w:pPr>
        <w:spacing w:after="120" w:line="264"/>
      </w:pPr>
      <w:r>
        <w:rPr>
          <w:b w:val="false"/>
          <w:bCs w:val="false"/>
          <w:i/>
          <w:iCs/>
        </w:rPr>
        <w:t xml:space="preserve">In short, confirm the fund actually owns the crypto in its own name, separate from personal holdings, prove it exists at year end, and value it from an objective source beyond a holding statement. Where you cannot, qualify and report.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Cryptocurrency</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2026-06-29T13:33:30.351Z</dcterms:created>
  <dcterms:modified xsi:type="dcterms:W3CDTF">2026-06-29T13:33:30.351Z</dcterms:modified>
</cp:coreProperties>
</file>

<file path=docProps/custom.xml><?xml version="1.0" encoding="utf-8"?>
<Properties xmlns="http://schemas.openxmlformats.org/officeDocument/2006/custom-properties" xmlns:vt="http://schemas.openxmlformats.org/officeDocument/2006/docPropsVTypes"/>
</file>