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2E75B6"/>
          <w:sz w:val="18"/>
          <w:szCs w:val="18"/>
        </w:rPr>
        <w:t xml:space="preserve">GUIDE 07</w:t>
      </w:r>
    </w:p>
    <w:p>
      <w:pPr>
        <w:spacing w:after="40"/>
      </w:pPr>
      <w:r>
        <w:rPr>
          <w:b/>
          <w:bCs/>
          <w:color w:val="1F3A5F"/>
          <w:sz w:val="36"/>
          <w:szCs w:val="36"/>
        </w:rPr>
        <w:t xml:space="preserve">How to audit real property and related party leases</w:t>
      </w:r>
    </w:p>
    <w:p>
      <w:pPr>
        <w:spacing w:after="160"/>
      </w:pPr>
      <w:r>
        <w:rPr>
          <w:color w:val="595959"/>
          <w:sz w:val="22"/>
          <w:szCs w:val="22"/>
        </w:rPr>
        <w:t xml:space="preserve">Ownership, market value and the related party rules for property</w:t>
      </w:r>
    </w:p>
    <w:p>
      <w:pPr>
        <w:pBdr>
          <w:bottom w:val="single" w:color="2E75B6" w:sz="6" w:space="1"/>
        </w:pBdr>
        <w:spacing w:after="120" w:before="40"/>
      </w:pPr>
      <w:r>
        <w:t xml:space="preserve"/>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EAF1F8" w:val="clear"/>
            <w:tcMar>
              <w:top w:type="dxa" w:w="120"/>
              <w:left w:type="dxa" w:w="180"/>
              <w:bottom w:type="dxa" w:w="120"/>
              <w:right w:type="dxa" w:w="160"/>
            </w:tcMar>
          </w:tcPr>
          <w:p>
            <w:pPr>
              <w:spacing w:after="50"/>
            </w:pPr>
            <w:r>
              <w:rPr>
                <w:b/>
                <w:bCs/>
                <w:color w:val="1F3A5F"/>
                <w:sz w:val="20"/>
                <w:szCs w:val="20"/>
              </w:rPr>
              <w:t xml:space="preserve">Who this guide is for</w:t>
            </w:r>
          </w:p>
          <w:p>
            <w:r>
              <w:rPr>
                <w:sz w:val="19"/>
                <w:szCs w:val="19"/>
              </w:rPr>
              <w:t xml:space="preserve">Approved SMSF auditors and audit staff auditing residential and commercial property, including property leased to a related party.</w:t>
            </w:r>
          </w:p>
        </w:tc>
      </w:tr>
    </w:tbl>
    <w:p>
      <w:pPr>
        <w:spacing w:after="80"/>
      </w:pPr>
      <w:r>
        <w:t xml:space="preserve"/>
      </w:r>
    </w:p>
    <w:p>
      <w:pPr>
        <w:spacing w:after="120" w:line="264"/>
      </w:pPr>
      <w:r>
        <w:rPr>
          <w:sz w:val="21"/>
          <w:szCs w:val="21"/>
        </w:rPr>
        <w:t xml:space="preserve">Property is often the largest asset in a fund and carries several distinct audit risks: ownership, market value, and, where it is leased to a related party, compliance with the in-house asset and arm's-length rules. This guide works through each.</w:t>
      </w:r>
    </w:p>
    <w:p>
      <w:pPr>
        <w:pStyle w:val="Heading2"/>
      </w:pPr>
      <w:r>
        <w:t xml:space="preserve">1. Confirm ownership and existence</w:t>
      </w:r>
    </w:p>
    <w:p>
      <w:pPr>
        <w:pStyle w:val="ListParagraph"/>
        <w:numPr>
          <w:ilvl w:val="0"/>
          <w:numId w:val="2"/>
        </w:numPr>
        <w:spacing w:after="60" w:line="264"/>
      </w:pPr>
      <w:r>
        <w:t xml:space="preserve">Obtain title or ownership evidence showing the property is held by the fund or by the trustee as trustee for the fund.</w:t>
      </w:r>
    </w:p>
    <w:p>
      <w:pPr>
        <w:pStyle w:val="ListParagraph"/>
        <w:numPr>
          <w:ilvl w:val="0"/>
          <w:numId w:val="2"/>
        </w:numPr>
        <w:spacing w:after="60" w:line="264"/>
      </w:pPr>
      <w:r>
        <w:t xml:space="preserve">Where a limited recourse borrowing arrangement applies, the property is held by the holding trust, so confirm the bare trust deed and that the fund has the beneficial interest.</w:t>
      </w:r>
    </w:p>
    <w:p>
      <w:pPr>
        <w:pStyle w:val="ListParagraph"/>
        <w:numPr>
          <w:ilvl w:val="0"/>
          <w:numId w:val="2"/>
        </w:numPr>
        <w:spacing w:after="60" w:line="264"/>
      </w:pPr>
      <w:r>
        <w:t xml:space="preserve">Where acquired during the year, agree the cost to the contract and settlement statement.</w:t>
      </w:r>
    </w:p>
    <w:p>
      <w:pPr>
        <w:pStyle w:val="Heading2"/>
      </w:pPr>
      <w:r>
        <w:t xml:space="preserve">2. Test market value</w:t>
      </w:r>
    </w:p>
    <w:p>
      <w:pPr>
        <w:spacing w:after="120" w:line="264"/>
      </w:pPr>
      <w:r>
        <w:rPr>
          <w:b w:val="false"/>
          <w:bCs w:val="false"/>
          <w:i w:val="false"/>
          <w:iCs w:val="false"/>
        </w:rPr>
        <w:t xml:space="preserve">Value at 30 June must be supported by objective evidence, and for property that means more than one source. Acceptable sources include comparable recent sales, a rates notice, an independent appraisal or a registered valuation. A single kerbside appraisal on its own is not sufficient. Where the value is unchanged from the prior year, obtain evidence that the market has not materially moved.</w:t>
      </w:r>
    </w:p>
    <w:p>
      <w:pPr>
        <w:pStyle w:val="Heading2"/>
      </w:pPr>
      <w:r>
        <w:t xml:space="preserve">3. Business real property and related party leases</w:t>
      </w:r>
    </w:p>
    <w:p>
      <w:pPr>
        <w:spacing w:after="120" w:line="264"/>
      </w:pPr>
      <w:r>
        <w:rPr>
          <w:b w:val="false"/>
          <w:bCs w:val="false"/>
          <w:i w:val="false"/>
          <w:iCs w:val="false"/>
        </w:rPr>
        <w:t xml:space="preserve">A fund can own property leased to a related party only where the property is business real property, meaning it is used wholly and exclusively in a business. Where a related party leases fund property, test the following.</w:t>
      </w:r>
    </w:p>
    <w:p>
      <w:pPr>
        <w:pStyle w:val="ListParagraph"/>
        <w:numPr>
          <w:ilvl w:val="0"/>
          <w:numId w:val="2"/>
        </w:numPr>
        <w:spacing w:after="60" w:line="264"/>
      </w:pPr>
      <w:r>
        <w:t xml:space="preserve">The property meets the business real property definition.</w:t>
      </w:r>
    </w:p>
    <w:p>
      <w:pPr>
        <w:pStyle w:val="ListParagraph"/>
        <w:numPr>
          <w:ilvl w:val="0"/>
          <w:numId w:val="2"/>
        </w:numPr>
        <w:spacing w:after="60" w:line="264"/>
      </w:pPr>
      <w:r>
        <w:t xml:space="preserve">There is a written lease on arm's-length terms, with rent at market rate.</w:t>
      </w:r>
    </w:p>
    <w:p>
      <w:pPr>
        <w:pStyle w:val="ListParagraph"/>
        <w:numPr>
          <w:ilvl w:val="0"/>
          <w:numId w:val="2"/>
        </w:numPr>
        <w:spacing w:after="60" w:line="264"/>
      </w:pPr>
      <w:r>
        <w:t xml:space="preserve">Rent is actually paid, in full and on time. Unpaid or below-market rent is a common breach and can be financial assistance to a related party.</w:t>
      </w:r>
    </w:p>
    <w:p>
      <w:pPr>
        <w:pStyle w:val="ListParagraph"/>
        <w:numPr>
          <w:ilvl w:val="0"/>
          <w:numId w:val="2"/>
        </w:numPr>
        <w:spacing w:after="60" w:line="264"/>
      </w:pPr>
      <w:r>
        <w:t xml:space="preserve">A formal valuation supports the property value, which is expected for commercial property leased to a related party.</w:t>
      </w:r>
    </w:p>
    <w:p>
      <w:pPr>
        <w:pStyle w:val="Heading2"/>
      </w:pPr>
      <w:r>
        <w:t xml:space="preserve">4. In-house asset interaction</w:t>
      </w:r>
    </w:p>
    <w:p>
      <w:pPr>
        <w:spacing w:after="120" w:line="264"/>
      </w:pPr>
      <w:r>
        <w:rPr>
          <w:b w:val="false"/>
          <w:bCs w:val="false"/>
          <w:i w:val="false"/>
          <w:iCs w:val="false"/>
        </w:rPr>
        <w:t xml:space="preserve">Business real property leased to a related party on arm's-length terms is exempt from the in-house asset rules. If the property does not meet the business real property test, or the lease is not arm's length, the lease becomes an in-house asset and counts towards the 5% limit, and may breach it.</w:t>
      </w:r>
    </w:p>
    <w:p>
      <w:pPr>
        <w:pStyle w:val="Heading2"/>
      </w:pPr>
      <w:r>
        <w:t xml:space="preserve">5. Property development warning signs</w:t>
      </w:r>
    </w:p>
    <w:p>
      <w:pPr>
        <w:spacing w:after="120" w:line="264"/>
      </w:pPr>
      <w:r>
        <w:rPr>
          <w:b w:val="false"/>
          <w:bCs w:val="false"/>
          <w:i w:val="false"/>
          <w:iCs w:val="false"/>
        </w:rPr>
        <w:t xml:space="preserve">Property development inside a fund is permitted but draws regulatory attention. Watch for non-arm's-length dealings, the diversion of income to or from related parties, joint ventures or related trusts that fail their conditions and become in-house assets, and arrangements that look like they provide a present-day benefit. Where you see these features, test them carefully against the sole purpose test, the in-house asset rules and the non-arm's-length income rules.</w:t>
      </w:r>
    </w:p>
    <w:p>
      <w:pPr>
        <w:pStyle w:val="Heading2"/>
      </w:pPr>
      <w:r>
        <w:t xml:space="preserve">6. A note on borrowing to buy property</w:t>
      </w:r>
    </w:p>
    <w:p>
      <w:pPr>
        <w:spacing w:after="120" w:line="264"/>
      </w:pPr>
      <w:r>
        <w:rPr>
          <w:b w:val="false"/>
          <w:bCs w:val="false"/>
          <w:i w:val="false"/>
          <w:iCs w:val="false"/>
        </w:rPr>
        <w:t xml:space="preserve">A fund can borrow to buy property only through a limited recourse borrowing arrangement. From 2026 a new restriction applies. The government legislated in June 2026 to prohibit SMSFs from entering into a new limited recourse borrowing arrangement to acquire residential property, expected to commence around mid-August 2026, being 45 days after Royal Assent. Business real property is not affected, and existing arrangements are grandfathered, including refinancing. Where you audit a property acquired with borrowing, confirm that a residential acquisition under a new arrangement was entered into before commencement, or that the property is business real property. Confirm the commencement date before relying on it. The LRBA guide covers the structure and the safe harbour in detail.</w:t>
      </w:r>
    </w:p>
    <w:p>
      <w:pPr>
        <w:pStyle w:val="Heading2"/>
      </w:pPr>
      <w:r>
        <w:t xml:space="preserve">Common pitfalls</w:t>
      </w:r>
    </w:p>
    <w:p>
      <w:pPr>
        <w:pStyle w:val="ListParagraph"/>
        <w:numPr>
          <w:ilvl w:val="0"/>
          <w:numId w:val="2"/>
        </w:numPr>
        <w:spacing w:after="60" w:line="264"/>
      </w:pPr>
      <w:r>
        <w:t xml:space="preserve">A single appraisal used as the only evidence of value.</w:t>
      </w:r>
    </w:p>
    <w:p>
      <w:pPr>
        <w:pStyle w:val="ListParagraph"/>
        <w:numPr>
          <w:ilvl w:val="0"/>
          <w:numId w:val="2"/>
        </w:numPr>
        <w:spacing w:after="60" w:line="264"/>
      </w:pPr>
      <w:r>
        <w:t xml:space="preserve">A related party lease with no written agreement or with rent unpaid.</w:t>
      </w:r>
    </w:p>
    <w:p>
      <w:pPr>
        <w:pStyle w:val="ListParagraph"/>
        <w:numPr>
          <w:ilvl w:val="0"/>
          <w:numId w:val="2"/>
        </w:numPr>
        <w:spacing w:after="60" w:line="264"/>
      </w:pPr>
      <w:r>
        <w:t xml:space="preserve">Assuming residential property leased to a related party is permitted, which it is not.</w:t>
      </w:r>
    </w:p>
    <w:p>
      <w:pPr>
        <w:pStyle w:val="ListParagraph"/>
        <w:numPr>
          <w:ilvl w:val="0"/>
          <w:numId w:val="2"/>
        </w:numPr>
        <w:spacing w:after="60" w:line="264"/>
      </w:pPr>
      <w:r>
        <w:t xml:space="preserve">Missing that a failed development structure has become an in-house asset.</w:t>
      </w:r>
    </w:p>
    <w:p>
      <w:pPr>
        <w:spacing w:after="80"/>
      </w:pPr>
      <w:r>
        <w:t xml:space="preserve"/>
      </w:r>
    </w:p>
    <w:p>
      <w:pPr>
        <w:spacing w:after="120" w:line="264"/>
      </w:pPr>
      <w:r>
        <w:rPr>
          <w:b w:val="false"/>
          <w:bCs w:val="false"/>
          <w:i/>
          <w:iCs/>
        </w:rPr>
        <w:t xml:space="preserve">In short, prove ownership, support value from more than one source, and where a related party is involved, confirm the property qualifies as business real property and the lease is genuinely arm's length and paid.</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after="40" w:before="0"/>
    </w:pPr>
    <w:r>
      <w:t xml:space="preserve"/>
    </w:r>
  </w:p>
  <w:p>
    <w:pPr>
      <w:tabs>
        <w:tab w:val="right" w:pos="9360"/>
      </w:tabs>
    </w:pPr>
    <w:r>
      <w:rPr>
        <w:color w:val="595959"/>
        <w:sz w:val="15"/>
        <w:szCs w:val="15"/>
      </w:rPr>
      <w:t xml:space="preserve">General guidance only. Not advice on a specific fund. The primary legislation and standards govern.</w:t>
    </w:r>
    <w:r>
      <w:rPr>
        <w:color w:val="595959"/>
        <w:sz w:val="15"/>
        <w:szCs w:val="15"/>
      </w:rPr>
      <w:t xml:space="preserve">	Page </w:t>
    </w:r>
    <w:r>
      <w:rPr>
        <w:color w:val="595959"/>
        <w:sz w:val="15"/>
        <w:szCs w:val="15"/>
      </w:rPr>
      <w:fldChar w:fldCharType="begin"/>
      <w:instrText xml:space="preserve">PAGE</w:instrText>
      <w:fldChar w:fldCharType="separate"/>
      <w:fldChar w:fldCharType="end"/>
    </w:r>
    <w:r>
      <w:rPr>
        <w:color w:val="595959"/>
        <w:sz w:val="15"/>
        <w:szCs w:val="15"/>
      </w:rPr>
      <w:t xml:space="preserve"> of </w:t>
    </w:r>
    <w:r>
      <w:rPr>
        <w:color w:val="595959"/>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spacing w:after="40"/>
    </w:pPr>
    <w:r>
      <w:rPr>
        <w:b/>
        <w:bCs/>
        <w:color w:val="1F3A5F"/>
        <w:sz w:val="16"/>
        <w:szCs w:val="16"/>
      </w:rPr>
      <w:t xml:space="preserve">SMSF Audit Resource Library</w:t>
    </w:r>
    <w:r>
      <w:rPr>
        <w:color w:val="595959"/>
        <w:sz w:val="16"/>
        <w:szCs w:val="16"/>
      </w:rPr>
      <w:t xml:space="preserve">	Real property</w:t>
    </w:r>
  </w:p>
  <w:p>
    <w:pPr>
      <w:pBdr>
        <w:bottom w:val="single" w:color="2E75B6" w:sz="4" w:space="1"/>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decimal"/>
      <w:lvlText w:val="%1."/>
      <w:lvlJc w:val="left"/>
      <w:pPr>
        <w:ind w:left="540" w:hanging="270"/>
      </w:pPr>
    </w:lvl>
  </w:abstractNum>
  <w:abstractNum w:abstractNumId="4" w15:restartNumberingAfterBreak="0">
    <w:multiLevelType w:val="hybridMultilevel"/>
    <w:lvl w:ilvl="0" w15:tentative="1">
      <w:start w:val="1"/>
      <w:numFmt w:val="lowerLetter"/>
      <w:lvlText w:val="(%1)"/>
      <w:lvlJc w:val="left"/>
      <w:pPr>
        <w:ind w:left="600" w:hanging="33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3A5F"/>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2E75B6"/>
      <w:sz w:val="24"/>
      <w:szCs w:val="24"/>
    </w:rPr>
  </w:style>
  <w:style w:type="paragraph" w:styleId="Heading3">
    <w:name w:val="Heading 3"/>
    <w:basedOn w:val="Normal"/>
    <w:next w:val="Normal"/>
    <w:qFormat/>
    <w:pPr>
      <w:spacing w:after="80" w:before="160"/>
      <w:outlineLvl w:val="2"/>
    </w:pPr>
    <w:rPr>
      <w:rFonts w:ascii="Arial" w:cs="Arial" w:eastAsia="Arial" w:hAnsi="Arial"/>
      <w:b/>
      <w:bCs/>
      <w:color w:val="1F3A5F"/>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2026-06-29T14:06:17.396Z</dcterms:created>
  <dcterms:modified xsi:type="dcterms:W3CDTF">2026-06-29T14:06:17.396Z</dcterms:modified>
</cp:coreProperties>
</file>

<file path=docProps/custom.xml><?xml version="1.0" encoding="utf-8"?>
<Properties xmlns="http://schemas.openxmlformats.org/officeDocument/2006/custom-properties" xmlns:vt="http://schemas.openxmlformats.org/officeDocument/2006/docPropsVTypes"/>
</file>