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06</w:t>
      </w:r>
    </w:p>
    <w:p>
      <w:pPr>
        <w:spacing w:after="40"/>
      </w:pPr>
      <w:r>
        <w:rPr>
          <w:b/>
          <w:bCs/>
          <w:color w:val="1F3A5F"/>
          <w:sz w:val="36"/>
          <w:szCs w:val="36"/>
        </w:rPr>
        <w:t xml:space="preserve">How to obtain sufficient valuation evidence by asset class</w:t>
      </w:r>
    </w:p>
    <w:p>
      <w:pPr>
        <w:spacing w:after="160"/>
      </w:pPr>
      <w:r>
        <w:rPr>
          <w:color w:val="595959"/>
          <w:sz w:val="22"/>
          <w:szCs w:val="22"/>
        </w:rPr>
        <w:t xml:space="preserve">Meeting the market value requirement (r8.02B) for each asset type</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testing the market value of fund assets at 30 June.</w:t>
            </w:r>
          </w:p>
        </w:tc>
      </w:tr>
    </w:tbl>
    <w:p>
      <w:pPr>
        <w:spacing w:after="80"/>
      </w:pPr>
      <w:r>
        <w:t xml:space="preserve"/>
      </w:r>
    </w:p>
    <w:p>
      <w:pPr>
        <w:spacing w:after="120" w:line="264"/>
      </w:pPr>
      <w:r>
        <w:rPr>
          <w:sz w:val="21"/>
          <w:szCs w:val="21"/>
        </w:rPr>
        <w:t xml:space="preserve">Every asset of the fund must be reported at market value at each reporting date, on the basis of objective and supportable evidence. This is one of the most common areas of audit qualification and contravention, because trustees often carry an asset at an unchanged or unsupported value. This guide sets out what counts as sufficient evidence for each asset class.</w:t>
      </w:r>
    </w:p>
    <w:p>
      <w:pPr>
        <w:pStyle w:val="Heading2"/>
      </w:pPr>
      <w:r>
        <w:t xml:space="preserve">1. The rule and the standard of evidence</w:t>
      </w:r>
    </w:p>
    <w:p>
      <w:pPr>
        <w:spacing w:after="120" w:line="264"/>
      </w:pPr>
      <w:r>
        <w:rPr>
          <w:b w:val="false"/>
          <w:bCs w:val="false"/>
          <w:i w:val="false"/>
          <w:iCs w:val="false"/>
        </w:rPr>
        <w:t xml:space="preserve">The regulation requires assets to be valued at market value at 30 June. The old practice of valuing only every few years is gone. Even where a formal valuation is not obtained every year, you need supportable evidence that the value has not materially changed. A value that is simply rolled forward unchanged, with nothing behind it, is not supported.</w:t>
      </w:r>
    </w:p>
    <w:p>
      <w:pPr>
        <w:pStyle w:val="Heading2"/>
      </w:pPr>
      <w:r>
        <w:t xml:space="preserve">2. Evidence by asset class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6460"/>
      </w:tblGrid>
      <w:tr>
        <w:trPr>
          <w:tblHeader/>
        </w:trPr>
        <w:tc>
          <w:tcPr>
            <w:tcW w:type="dxa" w:w="29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Asset class</w:t>
            </w:r>
          </w:p>
        </w:tc>
        <w:tc>
          <w:tcPr>
            <w:tcW w:type="dxa" w:w="64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Sufficient evidence at 30 June</w:t>
            </w:r>
          </w:p>
        </w:tc>
      </w:tr>
      <w:tr>
        <w:tc>
          <w:tcPr>
            <w:tcW w:type="dxa" w:w="29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Cash and term deposits</w:t>
            </w:r>
          </w:p>
        </w:tc>
        <w:tc>
          <w:tcPr>
            <w:tcW w:type="dxa" w:w="64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Bank confirmation or statement in the fund's name</w:t>
            </w:r>
          </w:p>
        </w:tc>
      </w:tr>
      <w:tr>
        <w:tc>
          <w:tcPr>
            <w:tcW w:type="dxa" w:w="29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Listed securities and managed funds</w:t>
            </w:r>
          </w:p>
        </w:tc>
        <w:tc>
          <w:tcPr>
            <w:tcW w:type="dxa" w:w="64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30 June quoted prices from a reliable source, agreed to a holding statement</w:t>
            </w:r>
          </w:p>
        </w:tc>
      </w:tr>
      <w:tr>
        <w:tc>
          <w:tcPr>
            <w:tcW w:type="dxa" w:w="29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Real property</w:t>
            </w:r>
          </w:p>
        </w:tc>
        <w:tc>
          <w:tcPr>
            <w:tcW w:type="dxa" w:w="64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More than one source: comparable recent sales, a rates notice, an independent appraisal or a registered valuation</w:t>
            </w:r>
          </w:p>
        </w:tc>
      </w:tr>
      <w:tr>
        <w:tc>
          <w:tcPr>
            <w:tcW w:type="dxa" w:w="29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Property leased to a related party</w:t>
            </w:r>
          </w:p>
        </w:tc>
        <w:tc>
          <w:tcPr>
            <w:tcW w:type="dxa" w:w="64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 formal valuation is expected, particularly for commercial property</w:t>
            </w:r>
          </w:p>
        </w:tc>
      </w:tr>
      <w:tr>
        <w:tc>
          <w:tcPr>
            <w:tcW w:type="dxa" w:w="29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Unlisted investments</w:t>
            </w:r>
          </w:p>
        </w:tc>
        <w:tc>
          <w:tcPr>
            <w:tcW w:type="dxa" w:w="64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Financial statements showing underlying assets at market value, an independent valuation, or a recent arm's-length transaction price</w:t>
            </w:r>
          </w:p>
        </w:tc>
      </w:tr>
      <w:tr>
        <w:tc>
          <w:tcPr>
            <w:tcW w:type="dxa" w:w="29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Cryptocurrency</w:t>
            </w:r>
          </w:p>
        </w:tc>
        <w:tc>
          <w:tcPr>
            <w:tcW w:type="dxa" w:w="64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Objective evidence beyond a holding statement, such as a published exchange closing price at 30 June</w:t>
            </w:r>
          </w:p>
        </w:tc>
      </w:tr>
      <w:tr>
        <w:tc>
          <w:tcPr>
            <w:tcW w:type="dxa" w:w="29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Collectables</w:t>
            </w:r>
          </w:p>
        </w:tc>
        <w:tc>
          <w:tcPr>
            <w:tcW w:type="dxa" w:w="64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Independent valuation for material items, supported by condition evidence</w:t>
            </w:r>
          </w:p>
        </w:tc>
      </w:tr>
    </w:tbl>
    <w:p>
      <w:pPr>
        <w:pStyle w:val="Heading2"/>
      </w:pPr>
      <w:r>
        <w:t xml:space="preserve">3. When unchanged values are acceptable</w:t>
      </w:r>
    </w:p>
    <w:p>
      <w:pPr>
        <w:spacing w:after="120" w:line="264"/>
      </w:pPr>
      <w:r>
        <w:rPr>
          <w:b w:val="false"/>
          <w:bCs w:val="false"/>
          <w:i w:val="false"/>
          <w:iCs w:val="false"/>
        </w:rPr>
        <w:t xml:space="preserve">A value can carry forward where there is evidence that the market has not materially moved. For a listed security that evidence is the year end price. For property it might be recent comparable sales showing stability. What is not acceptable is an unchanged value with no evidence at all, which the regulator has specifically called out, especially where it persists across several years.</w:t>
      </w:r>
    </w:p>
    <w:p>
      <w:pPr>
        <w:pStyle w:val="Heading2"/>
      </w:pPr>
      <w:r>
        <w:t xml:space="preserve">4. When to use an independent valuation</w:t>
      </w:r>
    </w:p>
    <w:p>
      <w:pPr>
        <w:pStyle w:val="ListParagraph"/>
        <w:numPr>
          <w:ilvl w:val="0"/>
          <w:numId w:val="2"/>
        </w:numPr>
        <w:spacing w:after="60" w:line="264"/>
      </w:pPr>
      <w:r>
        <w:t xml:space="preserve">Where reliable evidence is otherwise unavailable.</w:t>
      </w:r>
    </w:p>
    <w:p>
      <w:pPr>
        <w:pStyle w:val="ListParagraph"/>
        <w:numPr>
          <w:ilvl w:val="0"/>
          <w:numId w:val="2"/>
        </w:numPr>
        <w:spacing w:after="60" w:line="264"/>
      </w:pPr>
      <w:r>
        <w:t xml:space="preserve">Where a commercial property is leased to a related party.</w:t>
      </w:r>
    </w:p>
    <w:p>
      <w:pPr>
        <w:pStyle w:val="ListParagraph"/>
        <w:numPr>
          <w:ilvl w:val="0"/>
          <w:numId w:val="2"/>
        </w:numPr>
        <w:spacing w:after="60" w:line="264"/>
      </w:pPr>
      <w:r>
        <w:t xml:space="preserve">Where an asset is material and difficult to value, such as a significant unlisted holding.</w:t>
      </w:r>
    </w:p>
    <w:p>
      <w:pPr>
        <w:pStyle w:val="ListParagraph"/>
        <w:numPr>
          <w:ilvl w:val="0"/>
          <w:numId w:val="2"/>
        </w:numPr>
        <w:spacing w:after="60" w:line="264"/>
      </w:pPr>
      <w:r>
        <w:t xml:space="preserve">Where a collectable or artwork is material.</w:t>
      </w:r>
    </w:p>
    <w:p>
      <w:pPr>
        <w:pStyle w:val="Heading2"/>
      </w:pPr>
      <w:r>
        <w:t xml:space="preserve">5. If the evidence is not sufficient</w:t>
      </w:r>
    </w:p>
    <w:p>
      <w:pPr>
        <w:spacing w:after="120" w:line="264"/>
      </w:pPr>
      <w:r>
        <w:rPr>
          <w:b w:val="false"/>
          <w:bCs w:val="false"/>
          <w:i w:val="false"/>
          <w:iCs w:val="false"/>
        </w:rPr>
        <w:t xml:space="preserve">Where you cannot obtain sufficient evidence of market value and the amount is material, consider the effect on both parts of the report. A market value failure affects the financial audit and is also a compliance breach of the valuation regulation. Where the reporting criteria are met, lodge a contravention report.</w:t>
      </w:r>
    </w:p>
    <w:p>
      <w:pPr>
        <w:pStyle w:val="Heading2"/>
      </w:pPr>
      <w:r>
        <w:t xml:space="preserve">Common pitfalls</w:t>
      </w:r>
    </w:p>
    <w:p>
      <w:pPr>
        <w:pStyle w:val="ListParagraph"/>
        <w:numPr>
          <w:ilvl w:val="0"/>
          <w:numId w:val="2"/>
        </w:numPr>
        <w:spacing w:after="60" w:line="264"/>
      </w:pPr>
      <w:r>
        <w:t xml:space="preserve">Accepting an unchanged value with no supporting evidence.</w:t>
      </w:r>
    </w:p>
    <w:p>
      <w:pPr>
        <w:pStyle w:val="ListParagraph"/>
        <w:numPr>
          <w:ilvl w:val="0"/>
          <w:numId w:val="2"/>
        </w:numPr>
        <w:spacing w:after="60" w:line="264"/>
      </w:pPr>
      <w:r>
        <w:t xml:space="preserve">Relying on a single kerbside appraisal for property.</w:t>
      </w:r>
    </w:p>
    <w:p>
      <w:pPr>
        <w:pStyle w:val="ListParagraph"/>
        <w:numPr>
          <w:ilvl w:val="0"/>
          <w:numId w:val="2"/>
        </w:numPr>
        <w:spacing w:after="60" w:line="264"/>
      </w:pPr>
      <w:r>
        <w:t xml:space="preserve">Treating a crypto holding statement as evidence of market value.</w:t>
      </w:r>
    </w:p>
    <w:p>
      <w:pPr>
        <w:pStyle w:val="ListParagraph"/>
        <w:numPr>
          <w:ilvl w:val="0"/>
          <w:numId w:val="2"/>
        </w:numPr>
        <w:spacing w:after="60" w:line="264"/>
      </w:pPr>
      <w:r>
        <w:t xml:space="preserve">Forgetting that a valuation failure is a compliance matter as well as a financial one.</w:t>
      </w:r>
    </w:p>
    <w:p>
      <w:pPr>
        <w:spacing w:after="80"/>
      </w:pPr>
      <w:r>
        <w:t xml:space="preserve"/>
      </w:r>
    </w:p>
    <w:p>
      <w:pPr>
        <w:spacing w:after="120" w:line="264"/>
      </w:pPr>
      <w:r>
        <w:rPr>
          <w:b w:val="false"/>
          <w:bCs w:val="false"/>
          <w:i/>
          <w:iCs/>
        </w:rPr>
        <w:t xml:space="preserve">In short, every asset needs objective, supportable evidence of market value at year end. Match the evidence to the asset class, insist on more than one source for property, and treat an unsupported value as a finding, not a formality.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Valuation evidence</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2026-06-29T13:33:30.125Z</dcterms:created>
  <dcterms:modified xsi:type="dcterms:W3CDTF">2026-06-29T13:33:30.125Z</dcterms:modified>
</cp:coreProperties>
</file>

<file path=docProps/custom.xml><?xml version="1.0" encoding="utf-8"?>
<Properties xmlns="http://schemas.openxmlformats.org/officeDocument/2006/custom-properties" xmlns:vt="http://schemas.openxmlformats.org/officeDocument/2006/docPropsVTypes"/>
</file>