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04</w:t>
      </w:r>
    </w:p>
    <w:p>
      <w:pPr>
        <w:spacing w:after="40"/>
      </w:pPr>
      <w:r>
        <w:rPr>
          <w:b/>
          <w:bCs/>
          <w:color w:val="1F3A5F"/>
          <w:sz w:val="36"/>
          <w:szCs w:val="36"/>
        </w:rPr>
        <w:t xml:space="preserve">How to assess and document independence under APES 110</w:t>
      </w:r>
    </w:p>
    <w:p>
      <w:pPr>
        <w:spacing w:after="160"/>
      </w:pPr>
      <w:r>
        <w:rPr>
          <w:color w:val="595959"/>
          <w:sz w:val="22"/>
          <w:szCs w:val="22"/>
        </w:rPr>
        <w:t xml:space="preserve">Applying the conceptual framework and avoiding the unsafeguardable</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firms assessing and documenting independence for each engagement.</w:t>
            </w:r>
          </w:p>
        </w:tc>
      </w:tr>
    </w:tbl>
    <w:p>
      <w:pPr>
        <w:spacing w:after="80"/>
      </w:pPr>
      <w:r>
        <w:t xml:space="preserve"/>
      </w:r>
    </w:p>
    <w:p>
      <w:pPr>
        <w:spacing w:after="120" w:line="264"/>
      </w:pPr>
      <w:r>
        <w:rPr>
          <w:sz w:val="21"/>
          <w:szCs w:val="21"/>
        </w:rPr>
        <w:t xml:space="preserve">Independence is the area where SMSF auditors most often come unstuck, and it is a focus of regulatory attention. The code of ethics requires you to be, and to be seen to be, independent of the fund you audit. This guide explains the framework, the situations that can never be made acceptable, and how to document the assessment.</w:t>
      </w:r>
    </w:p>
    <w:p>
      <w:pPr>
        <w:pStyle w:val="Heading2"/>
      </w:pPr>
      <w:r>
        <w:t xml:space="preserve">1. The conceptual framework</w:t>
      </w:r>
    </w:p>
    <w:p>
      <w:pPr>
        <w:spacing w:after="120" w:line="264"/>
      </w:pPr>
      <w:r>
        <w:rPr>
          <w:b w:val="false"/>
          <w:bCs w:val="false"/>
          <w:i w:val="false"/>
          <w:iCs w:val="false"/>
        </w:rPr>
        <w:t xml:space="preserve">The code requires you to apply a conceptual framework to every engagement: identify threats to independence, evaluate their significance, and address them by eliminating the threat or applying safeguards to reduce it to an acceptable level. You apply this framework and reach a conclusion even where you decide no threat is significant, because the act of assessing and concluding is itself the evidence required.</w:t>
      </w:r>
    </w:p>
    <w:p>
      <w:pPr>
        <w:pStyle w:val="Heading2"/>
      </w:pPr>
      <w:r>
        <w:t xml:space="preserve">2. The five threats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Threat</w:t>
            </w:r>
          </w:p>
        </w:tc>
        <w:tc>
          <w:tcPr>
            <w:tcW w:type="dxa" w:w="63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Example in an SMSF</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Self-interest</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Heavy fee dependency on a single referral source</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Self-review</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Auditing a financial report the firm prepared</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Advocacy</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Promoting the trustees' position to a third party</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Familiarity</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 long or close association with the trustees</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Intimidation</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Pressure from the trustees or the referrer over the report</w:t>
            </w:r>
          </w:p>
        </w:tc>
      </w:tr>
    </w:tbl>
    <w:p>
      <w:pPr>
        <w:pStyle w:val="Heading2"/>
      </w:pPr>
      <w:r>
        <w:t xml:space="preserve">3. Situations that cannot be made acceptable</w:t>
      </w:r>
    </w:p>
    <w:p>
      <w:pPr>
        <w:spacing w:after="120" w:line="264"/>
      </w:pPr>
      <w:r>
        <w:rPr>
          <w:b w:val="false"/>
          <w:bCs w:val="false"/>
          <w:i w:val="false"/>
          <w:iCs w:val="false"/>
        </w:rPr>
        <w:t xml:space="preserve">Some circumstances cannot be reduced to an acceptable level by any safeguard. Do not accept or continue the engagement where any of these is present.</w:t>
      </w:r>
    </w:p>
    <w:p>
      <w:pPr>
        <w:pStyle w:val="ListParagraph"/>
        <w:numPr>
          <w:ilvl w:val="0"/>
          <w:numId w:val="2"/>
        </w:numPr>
        <w:spacing w:after="60" w:line="264"/>
      </w:pPr>
      <w:r>
        <w:t xml:space="preserve">Auditing your own fund, or the fund of an immediate family member.</w:t>
      </w:r>
    </w:p>
    <w:p>
      <w:pPr>
        <w:pStyle w:val="ListParagraph"/>
        <w:numPr>
          <w:ilvl w:val="0"/>
          <w:numId w:val="2"/>
        </w:numPr>
        <w:spacing w:after="60" w:line="264"/>
      </w:pPr>
      <w:r>
        <w:t xml:space="preserve">Any auditor in the firm auditing a partner's fund.</w:t>
      </w:r>
    </w:p>
    <w:p>
      <w:pPr>
        <w:pStyle w:val="ListParagraph"/>
        <w:numPr>
          <w:ilvl w:val="0"/>
          <w:numId w:val="2"/>
        </w:numPr>
        <w:spacing w:after="60" w:line="264"/>
      </w:pPr>
      <w:r>
        <w:t xml:space="preserve">A reciprocal or mutual auditing arrangement, where two auditors audit each other's funds or clients to sidestep the rules.</w:t>
      </w:r>
    </w:p>
    <w:p>
      <w:pPr>
        <w:pStyle w:val="ListParagraph"/>
        <w:numPr>
          <w:ilvl w:val="0"/>
          <w:numId w:val="2"/>
        </w:numPr>
        <w:spacing w:after="60" w:line="264"/>
      </w:pPr>
      <w:r>
        <w:t xml:space="preserve">Auditing a financial report your firm prepared, beyond a routine or mechanical service for which adequate safeguards exist.</w:t>
      </w:r>
    </w:p>
    <w:p>
      <w:pPr>
        <w:pStyle w:val="Heading2"/>
      </w:pPr>
      <w:r>
        <w:t xml:space="preserve">4. The financial statement preparation issue</w:t>
      </w:r>
    </w:p>
    <w:p>
      <w:pPr>
        <w:spacing w:after="120" w:line="264"/>
      </w:pPr>
      <w:r>
        <w:rPr>
          <w:b w:val="false"/>
          <w:bCs w:val="false"/>
          <w:i w:val="false"/>
          <w:iCs w:val="false"/>
        </w:rPr>
        <w:t xml:space="preserve">Preparing the financial statements and then auditing them creates a self-review threat. The narrow exception is for routine or mechanical services, where the work involves little or no professional judgement and adequate safeguards are in place. Where the firm has made accounting judgements in preparing the report, the threat cannot be safeguarded and the firm should not audit it. This is the single most common independence failure, and it is a focus of regulatory action.</w:t>
      </w:r>
    </w:p>
    <w:p>
      <w:pPr>
        <w:pStyle w:val="Heading2"/>
      </w:pPr>
      <w:r>
        <w:t xml:space="preserve">5. Fee dependency</w:t>
      </w:r>
    </w:p>
    <w:p>
      <w:pPr>
        <w:spacing w:after="120" w:line="264"/>
      </w:pPr>
      <w:r>
        <w:rPr>
          <w:b w:val="false"/>
          <w:bCs w:val="false"/>
          <w:i w:val="false"/>
          <w:iCs w:val="false"/>
        </w:rPr>
        <w:t xml:space="preserve">Dependence on a single source of referrals or fees is a self-interest and intimidation threat. The commonly cited guideline relates to fee dependency and is not a blanket safe harbour for everything else. Assess the dependence, apply safeguards such as a second partner review or reducing the dependence over time, and document the conclusion.</w:t>
      </w:r>
    </w:p>
    <w:p>
      <w:pPr>
        <w:pStyle w:val="Heading2"/>
      </w:pPr>
      <w:r>
        <w:t xml:space="preserve">6. Document the assessment every time</w:t>
      </w:r>
    </w:p>
    <w:p>
      <w:pPr>
        <w:spacing w:after="120" w:line="264"/>
      </w:pPr>
      <w:r>
        <w:rPr>
          <w:b w:val="false"/>
          <w:bCs w:val="false"/>
          <w:i w:val="false"/>
          <w:iCs w:val="false"/>
        </w:rPr>
        <w:t xml:space="preserve">For each engagement, record the threats identified, their significance, the safeguards applied, and the conclusion that the firm and the engagement team are independent. Do this for recurring engagements as well as new ones. A file with no independence documentation is a finding waiting to happen.</w:t>
      </w:r>
    </w:p>
    <w:p>
      <w:pPr>
        <w:pStyle w:val="Heading2"/>
      </w:pPr>
      <w:r>
        <w:t xml:space="preserve">Common pitfalls</w:t>
      </w:r>
    </w:p>
    <w:p>
      <w:pPr>
        <w:pStyle w:val="ListParagraph"/>
        <w:numPr>
          <w:ilvl w:val="0"/>
          <w:numId w:val="2"/>
        </w:numPr>
        <w:spacing w:after="60" w:line="264"/>
      </w:pPr>
      <w:r>
        <w:t xml:space="preserve">Auditing financial statements the firm prepared, on the assumption it is fine.</w:t>
      </w:r>
    </w:p>
    <w:p>
      <w:pPr>
        <w:pStyle w:val="ListParagraph"/>
        <w:numPr>
          <w:ilvl w:val="0"/>
          <w:numId w:val="2"/>
        </w:numPr>
        <w:spacing w:after="60" w:line="264"/>
      </w:pPr>
      <w:r>
        <w:t xml:space="preserve">Reciprocal arrangements dressed up as independent.</w:t>
      </w:r>
    </w:p>
    <w:p>
      <w:pPr>
        <w:pStyle w:val="ListParagraph"/>
        <w:numPr>
          <w:ilvl w:val="0"/>
          <w:numId w:val="2"/>
        </w:numPr>
        <w:spacing w:after="60" w:line="264"/>
      </w:pPr>
      <w:r>
        <w:t xml:space="preserve">Treating the fee guideline as the only test of independence.</w:t>
      </w:r>
    </w:p>
    <w:p>
      <w:pPr>
        <w:pStyle w:val="ListParagraph"/>
        <w:numPr>
          <w:ilvl w:val="0"/>
          <w:numId w:val="2"/>
        </w:numPr>
        <w:spacing w:after="60" w:line="264"/>
      </w:pPr>
      <w:r>
        <w:t xml:space="preserve">No documented assessment on recurring engagements.</w:t>
      </w:r>
    </w:p>
    <w:p>
      <w:pPr>
        <w:spacing w:after="80"/>
      </w:pPr>
      <w:r>
        <w:t xml:space="preserve"/>
      </w:r>
    </w:p>
    <w:p>
      <w:pPr>
        <w:spacing w:after="120" w:line="264"/>
      </w:pPr>
      <w:r>
        <w:rPr>
          <w:b w:val="false"/>
          <w:bCs w:val="false"/>
          <w:i/>
          <w:iCs/>
        </w:rPr>
        <w:t xml:space="preserve">In short, apply the framework to every engagement, refuse the engagements that can never be made acceptable, and write down the assessment each year. Independence is judged on the file, not on intentions.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Independence</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2026-06-29T13:30:48.153Z</dcterms:created>
  <dcterms:modified xsi:type="dcterms:W3CDTF">2026-06-29T13:30:48.153Z</dcterms:modified>
</cp:coreProperties>
</file>

<file path=docProps/custom.xml><?xml version="1.0" encoding="utf-8"?>
<Properties xmlns="http://schemas.openxmlformats.org/officeDocument/2006/custom-properties" xmlns:vt="http://schemas.openxmlformats.org/officeDocument/2006/docPropsVTypes"/>
</file>