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2E75B6"/>
          <w:sz w:val="18"/>
          <w:szCs w:val="18"/>
        </w:rPr>
        <w:t xml:space="preserve">GUIDE 02</w:t>
      </w:r>
    </w:p>
    <w:p>
      <w:pPr>
        <w:spacing w:after="40"/>
      </w:pPr>
      <w:r>
        <w:rPr>
          <w:b/>
          <w:bCs/>
          <w:color w:val="1F3A5F"/>
          <w:sz w:val="36"/>
          <w:szCs w:val="36"/>
        </w:rPr>
        <w:t xml:space="preserve">How to set materiality for an SMSF audit</w:t>
      </w:r>
    </w:p>
    <w:p>
      <w:pPr>
        <w:spacing w:after="160"/>
      </w:pPr>
      <w:r>
        <w:rPr>
          <w:color w:val="595959"/>
          <w:sz w:val="22"/>
          <w:szCs w:val="22"/>
        </w:rPr>
        <w:t xml:space="preserve">Choosing a benchmark, applying judgement and knowing the limits</w:t>
      </w:r>
    </w:p>
    <w:p>
      <w:pPr>
        <w:pBdr>
          <w:bottom w:val="single" w:color="2E75B6" w:sz="6" w:space="1"/>
        </w:pBdr>
        <w:spacing w:after="120" w:before="40"/>
      </w:pPr>
      <w:r>
        <w:t xml:space="preserve"/>
      </w:r>
    </w:p>
    <w:p>
      <w:pPr>
        <w:spacing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18"/>
              <w:bottom w:val="single" w:color="2E75B6" w:sz="4"/>
              <w:right w:val="single" w:color="2E75B6" w:sz="4"/>
            </w:tcBorders>
            <w:shd w:fill="EAF1F8" w:val="clear"/>
            <w:tcMar>
              <w:top w:type="dxa" w:w="120"/>
              <w:left w:type="dxa" w:w="180"/>
              <w:bottom w:type="dxa" w:w="120"/>
              <w:right w:type="dxa" w:w="160"/>
            </w:tcMar>
          </w:tcPr>
          <w:p>
            <w:pPr>
              <w:spacing w:after="50"/>
            </w:pPr>
            <w:r>
              <w:rPr>
                <w:b/>
                <w:bCs/>
                <w:color w:val="1F3A5F"/>
                <w:sz w:val="20"/>
                <w:szCs w:val="20"/>
              </w:rPr>
              <w:t xml:space="preserve">Who this guide is for</w:t>
            </w:r>
          </w:p>
          <w:p>
            <w:r>
              <w:rPr>
                <w:sz w:val="19"/>
                <w:szCs w:val="19"/>
              </w:rPr>
              <w:t xml:space="preserve">Approved SMSF auditors and audit staff setting materiality for the financial audit.</w:t>
            </w:r>
          </w:p>
        </w:tc>
      </w:tr>
    </w:tbl>
    <w:p>
      <w:pPr>
        <w:spacing w:after="80"/>
      </w:pPr>
      <w:r>
        <w:t xml:space="preserve"/>
      </w:r>
    </w:p>
    <w:p>
      <w:pPr>
        <w:spacing w:after="120" w:line="264"/>
      </w:pPr>
      <w:r>
        <w:rPr>
          <w:sz w:val="21"/>
          <w:szCs w:val="21"/>
        </w:rPr>
        <w:t xml:space="preserve">Materiality is the threshold above which a misstatement could reasonably be expected to influence the decisions of the users of the financial report. For an SMSF the users are the members, so the focus is on what would change their view of their entitlements. This guide explains how to set materiality and, just as importantly, where it does not apply.</w:t>
      </w:r>
    </w:p>
    <w:p>
      <w:pPr>
        <w:pStyle w:val="Heading2"/>
      </w:pPr>
      <w:r>
        <w:t xml:space="preserve">1. Choose the benchmark</w:t>
      </w:r>
    </w:p>
    <w:p>
      <w:pPr>
        <w:spacing w:after="120" w:line="264"/>
      </w:pPr>
      <w:r>
        <w:rPr>
          <w:b w:val="false"/>
          <w:bCs w:val="false"/>
          <w:i w:val="false"/>
          <w:iCs w:val="false"/>
        </w:rPr>
        <w:t xml:space="preserve">Select the benchmark most relevant to the users. For most funds net assets available to pay benefits is the primary benchmark, because members are most concerned with the value of their benefits. Total assets, total member benefits or total income may be relevant in particular funds, for example a fund with significant borrowing where total assets is more meaningful.</w:t>
      </w:r>
    </w:p>
    <w:p>
      <w:pPr>
        <w:pStyle w:val="Heading2"/>
      </w:pPr>
      <w:r>
        <w:t xml:space="preserve">2. Apply a percentage</w:t>
      </w:r>
    </w:p>
    <w:p>
      <w:pPr>
        <w:spacing w:after="120" w:line="264"/>
      </w:pPr>
      <w:r>
        <w:rPr>
          <w:b w:val="false"/>
          <w:bCs w:val="false"/>
          <w:i w:val="false"/>
          <w:iCs w:val="false"/>
        </w:rPr>
        <w:t xml:space="preserve">Apply a percentage to the benchmark to set overall materiality. A common range is 5% to 10% of net assets, with the figure chosen by judgement having regard to the fund. Then set performance materiality, often 50% to 75% of overall materiality, to reduce the risk that uncorrected and undetected misstatements together exceed overall materiality. Set a clearly trivial threshold below which misstatements need not be accumulated.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3200"/>
        <w:gridCol w:w="3160"/>
      </w:tblGrid>
      <w:tr>
        <w:trPr>
          <w:tblHeader/>
        </w:trPr>
        <w:tc>
          <w:tcPr>
            <w:tcW w:type="dxa" w:w="3000"/>
            <w:tcBorders>
              <w:top w:val="single" w:color="CCCCCC" w:sz="4"/>
              <w:left w:val="single" w:color="CCCCCC" w:sz="4"/>
              <w:bottom w:val="single" w:color="CCCCCC" w:sz="4"/>
              <w:right w:val="single" w:color="CCCCCC" w:sz="4"/>
            </w:tcBorders>
            <w:shd w:fill="1F3A5F" w:val="clear"/>
            <w:tcMar>
              <w:top w:type="dxa" w:w="70"/>
              <w:left w:type="dxa" w:w="120"/>
              <w:bottom w:type="dxa" w:w="70"/>
              <w:right w:type="dxa" w:w="120"/>
            </w:tcMar>
            <w:vAlign w:val="center"/>
          </w:tcPr>
          <w:p>
            <w:r>
              <w:rPr>
                <w:b/>
                <w:bCs/>
                <w:color w:val="FFFFFF"/>
                <w:sz w:val="19"/>
                <w:szCs w:val="19"/>
              </w:rPr>
              <w:t xml:space="preserve">Measure</w:t>
            </w:r>
          </w:p>
        </w:tc>
        <w:tc>
          <w:tcPr>
            <w:tcW w:type="dxa" w:w="3200"/>
            <w:tcBorders>
              <w:top w:val="single" w:color="CCCCCC" w:sz="4"/>
              <w:left w:val="single" w:color="CCCCCC" w:sz="4"/>
              <w:bottom w:val="single" w:color="CCCCCC" w:sz="4"/>
              <w:right w:val="single" w:color="CCCCCC" w:sz="4"/>
            </w:tcBorders>
            <w:shd w:fill="1F3A5F" w:val="clear"/>
            <w:tcMar>
              <w:top w:type="dxa" w:w="70"/>
              <w:left w:type="dxa" w:w="120"/>
              <w:bottom w:type="dxa" w:w="70"/>
              <w:right w:type="dxa" w:w="120"/>
            </w:tcMar>
            <w:vAlign w:val="center"/>
          </w:tcPr>
          <w:p>
            <w:r>
              <w:rPr>
                <w:b/>
                <w:bCs/>
                <w:color w:val="FFFFFF"/>
                <w:sz w:val="19"/>
                <w:szCs w:val="19"/>
              </w:rPr>
              <w:t xml:space="preserve">Typical basis</w:t>
            </w:r>
          </w:p>
        </w:tc>
        <w:tc>
          <w:tcPr>
            <w:tcW w:type="dxa" w:w="3160"/>
            <w:tcBorders>
              <w:top w:val="single" w:color="CCCCCC" w:sz="4"/>
              <w:left w:val="single" w:color="CCCCCC" w:sz="4"/>
              <w:bottom w:val="single" w:color="CCCCCC" w:sz="4"/>
              <w:right w:val="single" w:color="CCCCCC" w:sz="4"/>
            </w:tcBorders>
            <w:shd w:fill="1F3A5F" w:val="clear"/>
            <w:tcMar>
              <w:top w:type="dxa" w:w="70"/>
              <w:left w:type="dxa" w:w="120"/>
              <w:bottom w:type="dxa" w:w="70"/>
              <w:right w:type="dxa" w:w="120"/>
            </w:tcMar>
            <w:vAlign w:val="center"/>
          </w:tcPr>
          <w:p>
            <w:r>
              <w:rPr>
                <w:b/>
                <w:bCs/>
                <w:color w:val="FFFFFF"/>
                <w:sz w:val="19"/>
                <w:szCs w:val="19"/>
              </w:rPr>
              <w:t xml:space="preserve">Purpose</w:t>
            </w:r>
          </w:p>
        </w:tc>
      </w:tr>
      <w:tr>
        <w:tc>
          <w:tcPr>
            <w:tcW w:type="dxa" w:w="30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Overall materiality</w:t>
            </w:r>
          </w:p>
        </w:tc>
        <w:tc>
          <w:tcPr>
            <w:tcW w:type="dxa" w:w="32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5% to 10% of net assets</w:t>
            </w:r>
          </w:p>
        </w:tc>
        <w:tc>
          <w:tcPr>
            <w:tcW w:type="dxa" w:w="31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The headline threshold for the financial report</w:t>
            </w:r>
          </w:p>
        </w:tc>
      </w:tr>
      <w:tr>
        <w:tc>
          <w:tcPr>
            <w:tcW w:type="dxa" w:w="30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Performance materiality</w:t>
            </w:r>
          </w:p>
        </w:tc>
        <w:tc>
          <w:tcPr>
            <w:tcW w:type="dxa" w:w="32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50% to 75% of overall</w:t>
            </w:r>
          </w:p>
        </w:tc>
        <w:tc>
          <w:tcPr>
            <w:tcW w:type="dxa" w:w="31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A buffer applied when performing procedures</w:t>
            </w:r>
          </w:p>
        </w:tc>
      </w:tr>
      <w:tr>
        <w:tc>
          <w:tcPr>
            <w:tcW w:type="dxa" w:w="30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Clearly trivial</w:t>
            </w:r>
          </w:p>
        </w:tc>
        <w:tc>
          <w:tcPr>
            <w:tcW w:type="dxa" w:w="32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Up to 5% of overall</w:t>
            </w:r>
          </w:p>
        </w:tc>
        <w:tc>
          <w:tcPr>
            <w:tcW w:type="dxa" w:w="31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Below this, misstatements are not accumulated</w:t>
            </w:r>
          </w:p>
        </w:tc>
      </w:tr>
    </w:tbl>
    <w:p>
      <w:pPr>
        <w:pStyle w:val="Heading2"/>
      </w:pPr>
      <w:r>
        <w:t xml:space="preserve">3. Consider qualitative factors</w:t>
      </w:r>
    </w:p>
    <w:p>
      <w:pPr>
        <w:spacing w:after="120" w:line="264"/>
      </w:pPr>
      <w:r>
        <w:rPr>
          <w:b w:val="false"/>
          <w:bCs w:val="false"/>
          <w:i w:val="false"/>
          <w:iCs w:val="false"/>
        </w:rPr>
        <w:t xml:space="preserve">Numbers are not the whole story. Some matters are material by their nature regardless of size: related party dealings, pension compliance, a contravention, or anything that draws regulatory attention. Where qualitative factors are present, consider a lower materiality for the affected area, and document the reason.</w:t>
      </w:r>
    </w:p>
    <w:p>
      <w:pPr>
        <w:pStyle w:val="Heading2"/>
      </w:pPr>
      <w:r>
        <w:t xml:space="preserve">4. Know where materiality does not apply</w:t>
      </w:r>
    </w:p>
    <w:p>
      <w:pPr>
        <w:spacing w:after="120" w:line="264"/>
      </w:pPr>
      <w:r>
        <w:rPr>
          <w:b w:val="false"/>
          <w:bCs w:val="false"/>
          <w:i w:val="false"/>
          <w:iCs w:val="false"/>
        </w:rPr>
        <w:t xml:space="preserve">This is the point most often misunderstood. Materiality applies to the financial audit. It does not apply to the compliance reporting tests. A contravention that meets a reporting test must be reported to the regulator regardless of its dollar value. A small breach of the rules can still be reportable. Never use the financial audit materiality to filter out a compliance matter.</w:t>
      </w:r>
    </w:p>
    <w:p>
      <w:pPr>
        <w:pStyle w:val="Heading2"/>
      </w:pPr>
      <w:r>
        <w:t xml:space="preserve">5. Revise if needed</w:t>
      </w:r>
    </w:p>
    <w:p>
      <w:pPr>
        <w:spacing w:after="120" w:line="264"/>
      </w:pPr>
      <w:r>
        <w:rPr>
          <w:b w:val="false"/>
          <w:bCs w:val="false"/>
          <w:i w:val="false"/>
          <w:iCs w:val="false"/>
        </w:rPr>
        <w:t xml:space="preserve">Materiality is set at planning but is not fixed. If during the audit you become aware of information that would have caused you to set a different figure, revise it and document the change.</w:t>
      </w:r>
    </w:p>
    <w:p>
      <w:pPr>
        <w:pStyle w:val="Heading2"/>
      </w:pPr>
      <w:r>
        <w:t xml:space="preserve">6. Document the judgement</w:t>
      </w:r>
    </w:p>
    <w:p>
      <w:pPr>
        <w:spacing w:after="120" w:line="264"/>
      </w:pPr>
      <w:r>
        <w:rPr>
          <w:b w:val="false"/>
          <w:bCs w:val="false"/>
          <w:i w:val="false"/>
          <w:iCs w:val="false"/>
        </w:rPr>
        <w:t xml:space="preserve">Record the benchmark, the amount, the percentage, the performance materiality, the clearly trivial threshold and the reasons. A later reviewer should be able to see not just the number but why it was chosen.</w:t>
      </w:r>
    </w:p>
    <w:p>
      <w:pPr>
        <w:pStyle w:val="Heading2"/>
      </w:pPr>
      <w:r>
        <w:t xml:space="preserve">Common pitfalls</w:t>
      </w:r>
    </w:p>
    <w:p>
      <w:pPr>
        <w:pStyle w:val="ListParagraph"/>
        <w:numPr>
          <w:ilvl w:val="0"/>
          <w:numId w:val="2"/>
        </w:numPr>
        <w:spacing w:after="60" w:line="264"/>
      </w:pPr>
      <w:r>
        <w:t xml:space="preserve">Using a default percentage without thinking about the fund.</w:t>
      </w:r>
    </w:p>
    <w:p>
      <w:pPr>
        <w:pStyle w:val="ListParagraph"/>
        <w:numPr>
          <w:ilvl w:val="0"/>
          <w:numId w:val="2"/>
        </w:numPr>
        <w:spacing w:after="60" w:line="264"/>
      </w:pPr>
      <w:r>
        <w:t xml:space="preserve">Applying financial audit materiality to compliance matters.</w:t>
      </w:r>
    </w:p>
    <w:p>
      <w:pPr>
        <w:pStyle w:val="ListParagraph"/>
        <w:numPr>
          <w:ilvl w:val="0"/>
          <w:numId w:val="2"/>
        </w:numPr>
        <w:spacing w:after="60" w:line="264"/>
      </w:pPr>
      <w:r>
        <w:t xml:space="preserve">Failing to lower materiality where a qualitative factor clearly warrants it.</w:t>
      </w:r>
    </w:p>
    <w:p>
      <w:pPr>
        <w:pStyle w:val="ListParagraph"/>
        <w:numPr>
          <w:ilvl w:val="0"/>
          <w:numId w:val="2"/>
        </w:numPr>
        <w:spacing w:after="60" w:line="264"/>
      </w:pPr>
      <w:r>
        <w:t xml:space="preserve">Not documenting the basis, leaving the figure unsupported.</w:t>
      </w:r>
    </w:p>
    <w:p>
      <w:pPr>
        <w:spacing w:after="80"/>
      </w:pPr>
      <w:r>
        <w:t xml:space="preserve"/>
      </w:r>
    </w:p>
    <w:p>
      <w:pPr>
        <w:spacing w:after="120" w:line="264"/>
      </w:pPr>
      <w:r>
        <w:rPr>
          <w:b w:val="false"/>
          <w:bCs w:val="false"/>
          <w:i/>
          <w:iCs/>
        </w:rPr>
        <w:t xml:space="preserve">In short, anchor materiality to what matters to members, usually net assets, apply judgement to the percentage and to qualitative factors, and keep it well away from compliance reporting, where size does not decide what is reportable.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spacing w:after="40" w:before="0"/>
    </w:pPr>
    <w:r>
      <w:t xml:space="preserve"/>
    </w:r>
  </w:p>
  <w:p>
    <w:pPr>
      <w:tabs>
        <w:tab w:val="right" w:pos="9360"/>
      </w:tabs>
    </w:pPr>
    <w:r>
      <w:rPr>
        <w:color w:val="595959"/>
        <w:sz w:val="15"/>
        <w:szCs w:val="15"/>
      </w:rPr>
      <w:t xml:space="preserve">General guidance only. Not advice on a specific fund. The primary legislation and standards govern.</w:t>
    </w:r>
    <w:r>
      <w:rPr>
        <w:color w:val="595959"/>
        <w:sz w:val="15"/>
        <w:szCs w:val="15"/>
      </w:rPr>
      <w:t xml:space="preserve">	Page </w:t>
    </w:r>
    <w:r>
      <w:rPr>
        <w:color w:val="595959"/>
        <w:sz w:val="15"/>
        <w:szCs w:val="15"/>
      </w:rPr>
      <w:fldChar w:fldCharType="begin"/>
      <w:instrText xml:space="preserve">PAGE</w:instrText>
      <w:fldChar w:fldCharType="separate"/>
      <w:fldChar w:fldCharType="end"/>
    </w:r>
    <w:r>
      <w:rPr>
        <w:color w:val="595959"/>
        <w:sz w:val="15"/>
        <w:szCs w:val="15"/>
      </w:rPr>
      <w:t xml:space="preserve"> of </w:t>
    </w:r>
    <w:r>
      <w:rPr>
        <w:color w:val="595959"/>
        <w:sz w:val="15"/>
        <w:szCs w:val="15"/>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360"/>
      </w:tabs>
      <w:spacing w:after="40"/>
    </w:pPr>
    <w:r>
      <w:rPr>
        <w:b/>
        <w:bCs/>
        <w:color w:val="1F3A5F"/>
        <w:sz w:val="16"/>
        <w:szCs w:val="16"/>
      </w:rPr>
      <w:t xml:space="preserve">SMSF Audit Resource Library</w:t>
    </w:r>
    <w:r>
      <w:rPr>
        <w:color w:val="595959"/>
        <w:sz w:val="16"/>
        <w:szCs w:val="16"/>
      </w:rPr>
      <w:t xml:space="preserve">	Materiality</w:t>
    </w:r>
  </w:p>
  <w:p>
    <w:pPr>
      <w:pBdr>
        <w:bottom w:val="single" w:color="2E75B6" w:sz="4" w:space="1"/>
      </w:pBdr>
      <w:spacing w:after="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lvl w:ilvl="1" w15:tentative="1">
      <w:start w:val="1"/>
      <w:numFmt w:val="bullet"/>
      <w:lvlText w:val="◦"/>
      <w:lvlJc w:val="left"/>
      <w:pPr>
        <w:ind w:left="1080" w:hanging="270"/>
      </w:pPr>
    </w:lvl>
  </w:abstractNum>
  <w:abstractNum w:abstractNumId="3" w15:restartNumberingAfterBreak="0">
    <w:multiLevelType w:val="hybridMultilevel"/>
    <w:lvl w:ilvl="0" w15:tentative="1">
      <w:start w:val="1"/>
      <w:numFmt w:val="decimal"/>
      <w:lvlText w:val="%1."/>
      <w:lvlJc w:val="left"/>
      <w:pPr>
        <w:ind w:left="540" w:hanging="270"/>
      </w:pPr>
    </w:lvl>
  </w:abstractNum>
  <w:abstractNum w:abstractNumId="4" w15:restartNumberingAfterBreak="0">
    <w:multiLevelType w:val="hybridMultilevel"/>
    <w:lvl w:ilvl="0" w15:tentative="1">
      <w:start w:val="1"/>
      <w:numFmt w:val="lowerLetter"/>
      <w:lvlText w:val="(%1)"/>
      <w:lvlJc w:val="left"/>
      <w:pPr>
        <w:ind w:left="600" w:hanging="33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80"/>
      <w:outlineLvl w:val="0"/>
    </w:pPr>
    <w:rPr>
      <w:rFonts w:ascii="Arial" w:cs="Arial" w:eastAsia="Arial" w:hAnsi="Arial"/>
      <w:b/>
      <w:bCs/>
      <w:color w:val="1F3A5F"/>
      <w:sz w:val="30"/>
      <w:szCs w:val="30"/>
    </w:rPr>
  </w:style>
  <w:style w:type="paragraph" w:styleId="Heading2">
    <w:name w:val="Heading 2"/>
    <w:basedOn w:val="Normal"/>
    <w:next w:val="Normal"/>
    <w:qFormat/>
    <w:pPr>
      <w:spacing w:after="100" w:before="220"/>
      <w:outlineLvl w:val="1"/>
    </w:pPr>
    <w:rPr>
      <w:rFonts w:ascii="Arial" w:cs="Arial" w:eastAsia="Arial" w:hAnsi="Arial"/>
      <w:b/>
      <w:bCs/>
      <w:color w:val="2E75B6"/>
      <w:sz w:val="24"/>
      <w:szCs w:val="24"/>
    </w:rPr>
  </w:style>
  <w:style w:type="paragraph" w:styleId="Heading3">
    <w:name w:val="Heading 3"/>
    <w:basedOn w:val="Normal"/>
    <w:next w:val="Normal"/>
    <w:qFormat/>
    <w:pPr>
      <w:spacing w:after="80" w:before="160"/>
      <w:outlineLvl w:val="2"/>
    </w:pPr>
    <w:rPr>
      <w:rFonts w:ascii="Arial" w:cs="Arial" w:eastAsia="Arial" w:hAnsi="Arial"/>
      <w:b/>
      <w:bCs/>
      <w:color w:val="1F3A5F"/>
      <w:sz w:val="21"/>
      <w:szCs w:val="21"/>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2026-06-29T13:30:48.037Z</dcterms:created>
  <dcterms:modified xsi:type="dcterms:W3CDTF">2026-06-29T13:30:48.037Z</dcterms:modified>
</cp:coreProperties>
</file>

<file path=docProps/custom.xml><?xml version="1.0" encoding="utf-8"?>
<Properties xmlns="http://schemas.openxmlformats.org/officeDocument/2006/custom-properties" xmlns:vt="http://schemas.openxmlformats.org/officeDocument/2006/docPropsVTypes"/>
</file>