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2E75B6"/>
          <w:sz w:val="18"/>
          <w:szCs w:val="18"/>
        </w:rPr>
        <w:t xml:space="preserve">GUIDE 01</w:t>
      </w:r>
    </w:p>
    <w:p>
      <w:pPr>
        <w:spacing w:after="40"/>
      </w:pPr>
      <w:r>
        <w:rPr>
          <w:b/>
          <w:bCs/>
          <w:color w:val="1F3A5F"/>
          <w:sz w:val="36"/>
          <w:szCs w:val="36"/>
        </w:rPr>
        <w:t xml:space="preserve">How to plan an SMSF audit and assess risk</w:t>
      </w:r>
    </w:p>
    <w:p>
      <w:pPr>
        <w:spacing w:after="160"/>
      </w:pPr>
      <w:r>
        <w:rPr>
          <w:color w:val="595959"/>
          <w:sz w:val="22"/>
          <w:szCs w:val="22"/>
        </w:rPr>
        <w:t xml:space="preserve">A practical planning approach from acceptance to documented risk response</w:t>
      </w:r>
    </w:p>
    <w:p>
      <w:pPr>
        <w:pBdr>
          <w:bottom w:val="single" w:color="2E75B6" w:sz="6" w:space="1"/>
        </w:pBdr>
        <w:spacing w:after="120" w:before="40"/>
      </w:pPr>
      <w:r>
        <w:t xml:space="preserve"/>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EAF1F8" w:val="clear"/>
            <w:tcMar>
              <w:top w:type="dxa" w:w="120"/>
              <w:left w:type="dxa" w:w="180"/>
              <w:bottom w:type="dxa" w:w="120"/>
              <w:right w:type="dxa" w:w="160"/>
            </w:tcMar>
          </w:tcPr>
          <w:p>
            <w:pPr>
              <w:spacing w:after="50"/>
            </w:pPr>
            <w:r>
              <w:rPr>
                <w:b/>
                <w:bCs/>
                <w:color w:val="1F3A5F"/>
                <w:sz w:val="20"/>
                <w:szCs w:val="20"/>
              </w:rPr>
              <w:t xml:space="preserve">Who this guide is for</w:t>
            </w:r>
          </w:p>
          <w:p>
            <w:r>
              <w:rPr>
                <w:sz w:val="19"/>
                <w:szCs w:val="19"/>
              </w:rPr>
              <w:t xml:space="preserve">Approved SMSF auditors and audit staff. Accountants who want to understand how an auditor approaches a fund will also find it useful.</w:t>
            </w:r>
          </w:p>
        </w:tc>
      </w:tr>
    </w:tbl>
    <w:p>
      <w:pPr>
        <w:spacing w:after="80"/>
      </w:pPr>
      <w:r>
        <w:t xml:space="preserve"/>
      </w:r>
    </w:p>
    <w:p>
      <w:pPr>
        <w:spacing w:after="120" w:line="264"/>
      </w:pPr>
      <w:r>
        <w:rPr>
          <w:sz w:val="21"/>
          <w:szCs w:val="21"/>
        </w:rPr>
        <w:t xml:space="preserve">Planning is where an audit is won or lost. A well planned audit directs effort to the areas that matter, supports the opinions with the right evidence, and meets the statutory timeframe without a last minute scramble. This guide sets out a practical planning approach for a self-managed superannuation fund (SMSF) and how to assess and respond to risk.</w:t>
      </w:r>
    </w:p>
    <w:p>
      <w:pPr>
        <w:pStyle w:val="Heading2"/>
      </w:pPr>
      <w:r>
        <w:t xml:space="preserve">1. Confirm you can act before you start</w:t>
      </w:r>
    </w:p>
    <w:p>
      <w:pPr>
        <w:spacing w:after="120" w:line="264"/>
      </w:pPr>
      <w:r>
        <w:rPr>
          <w:b w:val="false"/>
          <w:bCs w:val="false"/>
          <w:i w:val="false"/>
          <w:iCs w:val="false"/>
        </w:rPr>
        <w:t xml:space="preserve">Before any substantive work, confirm three things: that you are independent of the fund, that you have the competence and capacity for the asset classes held, and that you have been appointed in time. You must be appointed at least 45 days before the annual return is due, and you must give the trustees the report within 28 days of receiving all the documents you need. Record the acceptance or continuance decision on the file.</w:t>
      </w:r>
    </w:p>
    <w:p>
      <w:pPr>
        <w:pStyle w:val="Heading2"/>
      </w:pPr>
      <w:r>
        <w:t xml:space="preserve">2. Understand the fund</w:t>
      </w:r>
    </w:p>
    <w:p>
      <w:pPr>
        <w:spacing w:after="120" w:line="264"/>
      </w:pPr>
      <w:r>
        <w:rPr>
          <w:b w:val="false"/>
          <w:bCs w:val="false"/>
          <w:i w:val="false"/>
          <w:iCs w:val="false"/>
        </w:rPr>
        <w:t xml:space="preserve">Build a current picture of the fund before you assess risk. The understanding drives everything that follows, so it is worth doing properly rather than copying last year forward without thought.</w:t>
      </w:r>
    </w:p>
    <w:p>
      <w:pPr>
        <w:pStyle w:val="ListParagraph"/>
        <w:numPr>
          <w:ilvl w:val="0"/>
          <w:numId w:val="2"/>
        </w:numPr>
        <w:spacing w:after="60" w:line="264"/>
      </w:pPr>
      <w:r>
        <w:t xml:space="preserve">Structure: individual trustees or a corporate trustee, the members, and the relationships between them.</w:t>
      </w:r>
    </w:p>
    <w:p>
      <w:pPr>
        <w:pStyle w:val="ListParagraph"/>
        <w:numPr>
          <w:ilvl w:val="0"/>
          <w:numId w:val="2"/>
        </w:numPr>
        <w:spacing w:after="60" w:line="264"/>
      </w:pPr>
      <w:r>
        <w:t xml:space="preserve">Phase: accumulation, pension, or both, and the pensions in payment.</w:t>
      </w:r>
    </w:p>
    <w:p>
      <w:pPr>
        <w:pStyle w:val="ListParagraph"/>
        <w:numPr>
          <w:ilvl w:val="0"/>
          <w:numId w:val="2"/>
        </w:numPr>
        <w:spacing w:after="60" w:line="264"/>
      </w:pPr>
      <w:r>
        <w:t xml:space="preserve">Investments: each asset class held, with attention to property, unlisted investments, borrowing arrangements, crypto assets and collectables.</w:t>
      </w:r>
    </w:p>
    <w:p>
      <w:pPr>
        <w:pStyle w:val="ListParagraph"/>
        <w:numPr>
          <w:ilvl w:val="0"/>
          <w:numId w:val="2"/>
        </w:numPr>
        <w:spacing w:after="60" w:line="264"/>
      </w:pPr>
      <w:r>
        <w:t xml:space="preserve">Arrangements: related party leases, limited recourse borrowing, and any unusual or one-off transactions during the year.</w:t>
      </w:r>
    </w:p>
    <w:p>
      <w:pPr>
        <w:pStyle w:val="ListParagraph"/>
        <w:numPr>
          <w:ilvl w:val="0"/>
          <w:numId w:val="2"/>
        </w:numPr>
        <w:spacing w:after="60" w:line="264"/>
      </w:pPr>
      <w:r>
        <w:t xml:space="preserve">Changes: new investments, new members, and any matter carried forward from the prior year.</w:t>
      </w:r>
    </w:p>
    <w:p>
      <w:pPr>
        <w:pStyle w:val="Heading2"/>
      </w:pPr>
      <w:r>
        <w:t xml:space="preserve">3. Set materiality</w:t>
      </w:r>
    </w:p>
    <w:p>
      <w:pPr>
        <w:spacing w:after="120" w:line="264"/>
      </w:pPr>
      <w:r>
        <w:rPr>
          <w:b w:val="false"/>
          <w:bCs w:val="false"/>
          <w:i w:val="false"/>
          <w:iCs w:val="false"/>
        </w:rPr>
        <w:t xml:space="preserve">Set materiality for the financial audit, usually against net assets available to pay benefits, because that is what members care about most. Materiality guides the financial audit only. It does not apply to the compliance reporting tests, where a contravention is reportable on its own terms regardless of how small it is. The separate materiality guide covers the calculation in detail.</w:t>
      </w:r>
    </w:p>
    <w:p>
      <w:pPr>
        <w:pStyle w:val="Heading2"/>
      </w:pPr>
      <w:r>
        <w:t xml:space="preserve">4. Assess risk and plan the response</w:t>
      </w:r>
    </w:p>
    <w:p>
      <w:pPr>
        <w:spacing w:after="120" w:line="264"/>
      </w:pPr>
      <w:r>
        <w:rPr>
          <w:b w:val="false"/>
          <w:bCs w:val="false"/>
          <w:i w:val="false"/>
          <w:iCs w:val="false"/>
        </w:rPr>
        <w:t xml:space="preserve">For an SMSF the recurring areas of risk are consistent, and a good plan names them and pairs each with a response.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200"/>
        <w:gridCol w:w="3160"/>
      </w:tblGrid>
      <w:tr>
        <w:trPr>
          <w:tblHeader/>
        </w:trPr>
        <w:tc>
          <w:tcPr>
            <w:tcW w:type="dxa" w:w="300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Common risk area</w:t>
            </w:r>
          </w:p>
        </w:tc>
        <w:tc>
          <w:tcPr>
            <w:tcW w:type="dxa" w:w="320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Why it matters</w:t>
            </w:r>
          </w:p>
        </w:tc>
        <w:tc>
          <w:tcPr>
            <w:tcW w:type="dxa" w:w="316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Typical response</w:t>
            </w:r>
          </w:p>
        </w:tc>
      </w:tr>
      <w:tr>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Existence and ownership of investments</w:t>
            </w:r>
          </w:p>
        </w:tc>
        <w:tc>
          <w:tcPr>
            <w:tcW w:type="dxa" w:w="32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Assets may be recorded that the fund does not own</w:t>
            </w:r>
          </w:p>
        </w:tc>
        <w:tc>
          <w:tcPr>
            <w:tcW w:type="dxa" w:w="31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Independent confirmation in the fund's name</w:t>
            </w:r>
          </w:p>
        </w:tc>
      </w:tr>
      <w:tr>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Market value at 30 June (r8.02B)</w:t>
            </w:r>
          </w:p>
        </w:tc>
        <w:tc>
          <w:tcPr>
            <w:tcW w:type="dxa" w:w="32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Unsupported or stale values misstate member balances</w:t>
            </w:r>
          </w:p>
        </w:tc>
        <w:tc>
          <w:tcPr>
            <w:tcW w:type="dxa" w:w="31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Multi-source valuation evidence each year</w:t>
            </w:r>
          </w:p>
        </w:tc>
      </w:tr>
      <w:tr>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Related party and in-house assets</w:t>
            </w:r>
          </w:p>
        </w:tc>
        <w:tc>
          <w:tcPr>
            <w:tcW w:type="dxa" w:w="32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A frequent source of contraventions</w:t>
            </w:r>
          </w:p>
        </w:tc>
        <w:tc>
          <w:tcPr>
            <w:tcW w:type="dxa" w:w="31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Test arrangements against the rules and exemptions</w:t>
            </w:r>
          </w:p>
        </w:tc>
      </w:tr>
      <w:tr>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Separation of assets (r4.09A)</w:t>
            </w:r>
          </w:p>
        </w:tc>
        <w:tc>
          <w:tcPr>
            <w:tcW w:type="dxa" w:w="32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Personal and fund assets can be mixed</w:t>
            </w:r>
          </w:p>
        </w:tc>
        <w:tc>
          <w:tcPr>
            <w:tcW w:type="dxa" w:w="31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Confirm titles and accounts in the fund's name</w:t>
            </w:r>
          </w:p>
        </w:tc>
      </w:tr>
      <w:tr>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Fraud and management override</w:t>
            </w:r>
          </w:p>
        </w:tc>
        <w:tc>
          <w:tcPr>
            <w:tcW w:type="dxa" w:w="32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Limited segregation of duties in an SMSF</w:t>
            </w:r>
          </w:p>
        </w:tc>
        <w:tc>
          <w:tcPr>
            <w:tcW w:type="dxa" w:w="31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Examine unusual transactions and journals</w:t>
            </w:r>
          </w:p>
        </w:tc>
      </w:tr>
    </w:tbl>
    <w:p>
      <w:pPr>
        <w:pStyle w:val="Heading2"/>
      </w:pPr>
      <w:r>
        <w:t xml:space="preserve">5. Consider fraud specifically</w:t>
      </w:r>
    </w:p>
    <w:p>
      <w:pPr>
        <w:spacing w:after="120" w:line="264"/>
      </w:pPr>
      <w:r>
        <w:rPr>
          <w:b w:val="false"/>
          <w:bCs w:val="false"/>
          <w:i w:val="false"/>
          <w:iCs w:val="false"/>
        </w:rPr>
        <w:t xml:space="preserve">The auditing standard on fraud applies to every audit. In an SMSF the inherent fraud risk is raised by the lack of segregation of duties and the closeness between trustees and members. The clearest fraud risk is illegal early access disguised as an expense or a loan. Record your consideration of fraud and how the plan responds to it.</w:t>
      </w:r>
    </w:p>
    <w:p>
      <w:pPr>
        <w:pStyle w:val="Heading2"/>
      </w:pPr>
      <w:r>
        <w:t xml:space="preserve">6. Decide on reliance and specialists</w:t>
      </w:r>
    </w:p>
    <w:p>
      <w:pPr>
        <w:pStyle w:val="ListParagraph"/>
        <w:numPr>
          <w:ilvl w:val="0"/>
          <w:numId w:val="2"/>
        </w:numPr>
        <w:spacing w:after="60" w:line="264"/>
      </w:pPr>
      <w:r>
        <w:t xml:space="preserve">Service organisations: where investments sit on a platform or wrap, plan to obtain a controls report and the annual investor statement.</w:t>
      </w:r>
    </w:p>
    <w:p>
      <w:pPr>
        <w:pStyle w:val="ListParagraph"/>
        <w:numPr>
          <w:ilvl w:val="0"/>
          <w:numId w:val="2"/>
        </w:numPr>
        <w:spacing w:after="60" w:line="264"/>
      </w:pPr>
      <w:r>
        <w:t xml:space="preserve">Valuations: identify where an independent valuation or appraisal will be needed, particularly for property leased to a related party and for unlisted investments.</w:t>
      </w:r>
    </w:p>
    <w:p>
      <w:pPr>
        <w:pStyle w:val="ListParagraph"/>
        <w:numPr>
          <w:ilvl w:val="0"/>
          <w:numId w:val="2"/>
        </w:numPr>
        <w:spacing w:after="60" w:line="264"/>
      </w:pPr>
      <w:r>
        <w:t xml:space="preserve">Actuarial certificates: identify whether the fund needs one to support an exempt current pension income claim.</w:t>
      </w:r>
    </w:p>
    <w:p>
      <w:pPr>
        <w:pStyle w:val="Heading2"/>
      </w:pPr>
      <w:r>
        <w:t xml:space="preserve">7. Document the plan</w:t>
      </w:r>
    </w:p>
    <w:p>
      <w:pPr>
        <w:spacing w:after="120" w:line="264"/>
      </w:pPr>
      <w:r>
        <w:rPr>
          <w:b w:val="false"/>
          <w:bCs w:val="false"/>
          <w:i w:val="false"/>
          <w:iCs w:val="false"/>
        </w:rPr>
        <w:t xml:space="preserve">Record the plan in a planning memorandum: the understanding of the fund, materiality, the risk assessment, the planned responses, the use of specialists, and the timetable. Update it if circumstances change during the audit. The plan is the spine of the file, and the asset class and compliance working papers should trace back to it.</w:t>
      </w:r>
    </w:p>
    <w:p>
      <w:pPr>
        <w:pStyle w:val="Heading2"/>
      </w:pPr>
      <w:r>
        <w:t xml:space="preserve">Common pitfalls</w:t>
      </w:r>
    </w:p>
    <w:p>
      <w:pPr>
        <w:pStyle w:val="ListParagraph"/>
        <w:numPr>
          <w:ilvl w:val="0"/>
          <w:numId w:val="2"/>
        </w:numPr>
        <w:spacing w:after="60" w:line="264"/>
      </w:pPr>
      <w:r>
        <w:t xml:space="preserve">Rolling forward last year's plan without considering what changed in the fund.</w:t>
      </w:r>
    </w:p>
    <w:p>
      <w:pPr>
        <w:pStyle w:val="ListParagraph"/>
        <w:numPr>
          <w:ilvl w:val="0"/>
          <w:numId w:val="2"/>
        </w:numPr>
        <w:spacing w:after="60" w:line="264"/>
      </w:pPr>
      <w:r>
        <w:t xml:space="preserve">Treating materiality as if it limits compliance reporting, which it does not.</w:t>
      </w:r>
    </w:p>
    <w:p>
      <w:pPr>
        <w:pStyle w:val="ListParagraph"/>
        <w:numPr>
          <w:ilvl w:val="0"/>
          <w:numId w:val="2"/>
        </w:numPr>
        <w:spacing w:after="60" w:line="264"/>
      </w:pPr>
      <w:r>
        <w:t xml:space="preserve">Leaving valuation evidence to the end, then finding it cannot be obtained in time.</w:t>
      </w:r>
    </w:p>
    <w:p>
      <w:pPr>
        <w:pStyle w:val="ListParagraph"/>
        <w:numPr>
          <w:ilvl w:val="0"/>
          <w:numId w:val="2"/>
        </w:numPr>
        <w:spacing w:after="60" w:line="264"/>
      </w:pPr>
      <w:r>
        <w:t xml:space="preserve">Failing to identify a related party arrangement at planning, so it is not properly tested.</w:t>
      </w:r>
    </w:p>
    <w:p>
      <w:pPr>
        <w:spacing w:after="80"/>
      </w:pPr>
      <w:r>
        <w:t xml:space="preserve"/>
      </w:r>
    </w:p>
    <w:p>
      <w:pPr>
        <w:spacing w:after="120" w:line="264"/>
      </w:pPr>
      <w:r>
        <w:rPr>
          <w:b w:val="false"/>
          <w:bCs w:val="false"/>
          <w:i/>
          <w:iCs/>
        </w:rPr>
        <w:t xml:space="preserve">In short, plan from a current understanding of the fund, name the risks that actually apply, pair each with a response, and write it down. A good plan makes the rest of the audit faster and the opinions defensible.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after="40" w:before="0"/>
    </w:pPr>
    <w:r>
      <w:t xml:space="preserve"/>
    </w:r>
  </w:p>
  <w:p>
    <w:pPr>
      <w:tabs>
        <w:tab w:val="right" w:pos="9360"/>
      </w:tabs>
    </w:pPr>
    <w:r>
      <w:rPr>
        <w:color w:val="595959"/>
        <w:sz w:val="15"/>
        <w:szCs w:val="15"/>
      </w:rPr>
      <w:t xml:space="preserve">General guidance only. Not advice on a specific fund. The primary legislation and standards govern.</w:t>
    </w:r>
    <w:r>
      <w:rPr>
        <w:color w:val="595959"/>
        <w:sz w:val="15"/>
        <w:szCs w:val="15"/>
      </w:rPr>
      <w:t xml:space="preserve">	Page </w:t>
    </w:r>
    <w:r>
      <w:rPr>
        <w:color w:val="595959"/>
        <w:sz w:val="15"/>
        <w:szCs w:val="15"/>
      </w:rPr>
      <w:fldChar w:fldCharType="begin"/>
      <w:instrText xml:space="preserve">PAGE</w:instrText>
      <w:fldChar w:fldCharType="separate"/>
      <w:fldChar w:fldCharType="end"/>
    </w:r>
    <w:r>
      <w:rPr>
        <w:color w:val="595959"/>
        <w:sz w:val="15"/>
        <w:szCs w:val="15"/>
      </w:rPr>
      <w:t xml:space="preserve"> of </w:t>
    </w:r>
    <w:r>
      <w:rPr>
        <w:color w:val="595959"/>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spacing w:after="40"/>
    </w:pPr>
    <w:r>
      <w:rPr>
        <w:b/>
        <w:bCs/>
        <w:color w:val="1F3A5F"/>
        <w:sz w:val="16"/>
        <w:szCs w:val="16"/>
      </w:rPr>
      <w:t xml:space="preserve">SMSF Audit Resource Library</w:t>
    </w:r>
    <w:r>
      <w:rPr>
        <w:color w:val="595959"/>
        <w:sz w:val="16"/>
        <w:szCs w:val="16"/>
      </w:rPr>
      <w:t xml:space="preserve">	Planning and risk</w:t>
    </w:r>
  </w:p>
  <w:p>
    <w:pPr>
      <w:pBdr>
        <w:bottom w:val="single" w:color="2E75B6" w:sz="4" w:space="1"/>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decimal"/>
      <w:lvlText w:val="%1."/>
      <w:lvlJc w:val="left"/>
      <w:pPr>
        <w:ind w:left="540" w:hanging="270"/>
      </w:pPr>
    </w:lvl>
  </w:abstractNum>
  <w:abstractNum w:abstractNumId="4" w15:restartNumberingAfterBreak="0">
    <w:multiLevelType w:val="hybridMultilevel"/>
    <w:lvl w:ilvl="0" w15:tentative="1">
      <w:start w:val="1"/>
      <w:numFmt w:val="lowerLetter"/>
      <w:lvlText w:val="(%1)"/>
      <w:lvlJc w:val="left"/>
      <w:pPr>
        <w:ind w:left="600" w:hanging="33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3A5F"/>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2E75B6"/>
      <w:sz w:val="24"/>
      <w:szCs w:val="24"/>
    </w:rPr>
  </w:style>
  <w:style w:type="paragraph" w:styleId="Heading3">
    <w:name w:val="Heading 3"/>
    <w:basedOn w:val="Normal"/>
    <w:next w:val="Normal"/>
    <w:qFormat/>
    <w:pPr>
      <w:spacing w:after="80" w:before="160"/>
      <w:outlineLvl w:val="2"/>
    </w:pPr>
    <w:rPr>
      <w:rFonts w:ascii="Arial" w:cs="Arial" w:eastAsia="Arial" w:hAnsi="Arial"/>
      <w:b/>
      <w:bCs/>
      <w:color w:val="1F3A5F"/>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2026-06-29T13:30:47.816Z</dcterms:created>
  <dcterms:modified xsi:type="dcterms:W3CDTF">2026-06-29T13:30:47.817Z</dcterms:modified>
</cp:coreProperties>
</file>

<file path=docProps/custom.xml><?xml version="1.0" encoding="utf-8"?>
<Properties xmlns="http://schemas.openxmlformats.org/officeDocument/2006/custom-properties" xmlns:vt="http://schemas.openxmlformats.org/officeDocument/2006/docPropsVTypes"/>
</file>